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Опека устанавливается над малолетними, а также над гражданами, признанными судом недееспособными вследствие психического расстройства.</w:t>
      </w:r>
    </w:p>
    <w:p>
      <w:pPr>
        <w:spacing w:after="120"/>
        <w:ind w:firstLine="709"/>
      </w:pPr>
      <w:r>
        <w:rPr>
          <w:sz w:val="24"/>
        </w:rPr>
        <w:t xml:space="preserve">2. Опекуны являются представителями подопечных в силу закона и совершают от их имени и в их интересах все необходимые сделки.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32</dc:title>
  <dc:creator>АРБИТРАЖ! · arbi.ru</dc:creator>
  <cp:lastModifiedBy>АРБИТРАЖ!</cp:lastModifiedBy>
  <dcterms:created xsi:type="dcterms:W3CDTF">2026-10-22T20:15:35.950Z</dcterms:created>
</cp:coreProperties>
</file>