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необходимости постоянного управления недвижимым и ценным движимым имуществом подопечного орган опеки и попечительства заключает с управляющим, определенным этим органом, договор о доверительном управлении таким имуществом. В этом случае опекун или попечитель сохраняет свои полномочия в отношении того имущества подопечного, которое не передано в доверительное управление.</w:t>
      </w:r>
    </w:p>
    <w:p>
      <w:pPr>
        <w:spacing w:after="120"/>
        <w:ind w:firstLine="709"/>
      </w:pPr>
      <w:r>
        <w:rPr>
          <w:sz w:val="24"/>
        </w:rPr>
        <w:t xml:space="preserve">При осуществлении управляющим правомочий по управлению имуществом подопечного на управляющего распространяется действие правил, предусмотренных пунктами 2 и 3 статьи 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Доверительное управление имуществом подопечного прекращается по основаниям, предусмотренным законом для прекращения договора о доверительном управлении имуществом, а также в случаях прекращения опеки и попечительства.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</dc:title>
  <dc:creator>АРБИТРАЖ! · arbi.ru</dc:creator>
  <cp:lastModifiedBy>АРБИТРАЖ!</cp:lastModifiedBy>
  <dcterms:created xsi:type="dcterms:W3CDTF">2026-10-22T12:25:27.345Z</dcterms:created>
</cp:coreProperties>
</file>