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48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Юридическим лицом признается организация, которая имеет обособленное имущество и отвечает им по своим обязательствам, может от своего имени приобретать и осуществлять гражданские права и нести гражданские обязанности, быть истцом и ответчиком в суде.</w:t>
      </w:r>
    </w:p>
    <w:p>
      <w:pPr>
        <w:spacing w:after="120"/>
        <w:ind w:firstLine="709"/>
      </w:pPr>
      <w:r>
        <w:rPr>
          <w:sz w:val="24"/>
        </w:rPr>
        <w:t xml:space="preserve">2. Юридическое лицо должно быть зарегистрировано в едином государственном реестре юридических лиц в одной из организационно-правовых форм,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3. К юридическим лицам, на имущество которых их учредители имеют вещные права, относятся государственные и муниципальные унитарные предприятия, а также учреждения.</w:t>
      </w:r>
    </w:p>
    <w:p>
      <w:pPr>
        <w:spacing w:after="120"/>
        <w:ind w:firstLine="709"/>
      </w:pPr>
      <w:r>
        <w:rPr>
          <w:sz w:val="24"/>
        </w:rPr>
        <w:t xml:space="preserve">К юридическим лицам, в отношении которых их участники имеют корпоративные права, относятся корпоративные организации (статья 65.1) .</w:t>
      </w:r>
    </w:p>
    <w:p>
      <w:pPr>
        <w:spacing w:after="120"/>
        <w:ind w:firstLine="709"/>
      </w:pPr>
      <w:r>
        <w:rPr>
          <w:sz w:val="24"/>
        </w:rPr>
        <w:t xml:space="preserve">4. Правовое положение Центрального банка Российской Федерации (Банка России) определяется Конституцией Российской Федерации и законом о Центральном банке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48</dc:title>
  <dc:creator>АРБИТРАЖ! · arbi.ru</dc:creator>
  <cp:lastModifiedBy>АРБИТРАЖ!</cp:lastModifiedBy>
  <dcterms:created xsi:type="dcterms:W3CDTF">2026-10-22T20:17:47.536Z</dcterms:created>
</cp:coreProperties>
</file>