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Юридическое лицо может иметь гражданские права, соответствующие целям деятельности, предусмотренным в его учредительном документе (статья 52) , и нести связанные с этой деятельностью обязанности.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Коммерческие организации, за исключением унитарных предприятий и иных видов организаций, предусмотренных законом , могут иметь гражданские права и нести гражданские обязанности, необходимые для осуществления любых видов деятельности, не запрещенных законом.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законом, юридическое лицо может заниматься отдельными видами деятельности только на основании специального разрешения (лицензии) , членства в саморегулируемой организации или выданного саморегулируемой организацией свидетельства о допуске к определенному виду работ.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Юридическое лицо может быть ограничено в правах лишь в случаях и в порядке, предусмотренных законом. Решение об ограничении прав может быть оспорено юридическим лицом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прекращении.</w:t>
      </w:r>
    </w:p>
    <w:p>
      <w:pPr>
        <w:spacing w:after="120"/>
        <w:ind w:firstLine="709"/>
      </w:pPr>
      <w:r>
        <w:rPr>
          <w:sz w:val="24"/>
        </w:rPr>
        <w:t xml:space="preserve">Право юридического лица осуществлять деятельность, для занятия которой необходимо получение специального разрешения (лицензии), членство в саморегулируемой организации или получение свидетельства саморегулируемой организации о допуске к определенному виду работ, возникает с момента получения такого разрешения (лицензии)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(лицензии), членства в саморегулируемой организации или выданного саморегулируемой организацией свидетельства о допуске к определенному виду работ.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Гражданско-правовое положение юридических лиц и порядок их участия в гражданском обороте (статья 2) регулируются настоящим Кодексом. Особенности гражданско-правового положения юридических лиц отдельных организационно-правовых форм, видов и типов, а также юридических лиц, созданных для осуществления деятельности в определенных сферах, определяются настоящим Кодексом, другими законами 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05.05.2014 N 99-ФЗ, в ред. Федерального закона от 06.04.2015 N 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 юридическим лицам, создаваемым Российской Федерацией на основании специальных федеральных законов , положения настоящего Кодекса о юридических лицах применяются постольку, поскольку иное не предусмотрено специальным федеральным законом о соответствующем юридическом лице.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03.07.2016 N 236-ФЗ)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49</dc:title>
  <dc:creator>АРБИТРАЖ! · arbi.ru</dc:creator>
  <cp:lastModifiedBy>АРБИТРАЖ!</cp:lastModifiedBy>
  <dcterms:created xsi:type="dcterms:W3CDTF">2026-10-22T20:22:31.883Z</dcterms:created>
</cp:coreProperties>
</file>