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Юридическое лицо отвечает по своим обязательствам всем принадлежащим ему имуществом.</w:t>
      </w:r>
    </w:p>
    <w:p>
      <w:pPr>
        <w:spacing w:after="120"/>
        <w:ind w:firstLine="709"/>
      </w:pPr>
      <w:r>
        <w:rPr>
          <w:sz w:val="24"/>
        </w:rPr>
        <w:t xml:space="preserve">Особенности ответственности казенного предприятия и учреждения по своим обязательствам определяются правилами абзаца третьего пункта 6 статьи 113 , пункта 3 статьи 123.21 , пунктов 3 - 6 статьи 123.22 и пункта 2 статьи 123.23 настоящего Кодекса. Особенности ответственности религиозной организации определяются правилами пункта 2 статьи 123.28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Учредитель (участник) юридического лица или собственник его имущества не отвечает по обязательствам юридического лица, а юридическое лицо не отвечает по обязательствам учредителя (участника) или собственника, за исключением случаев, предусмотренных настоящим Кодексом или другим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56</dc:title>
  <dc:creator>АРБИТРАЖ! · arbi.ru</dc:creator>
  <cp:lastModifiedBy>АРБИТРАЖ!</cp:lastModifiedBy>
  <dcterms:created xsi:type="dcterms:W3CDTF">2026-10-22T22:34:13.738Z</dcterms:created>
</cp:coreProperties>
</file>