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акт.</w:t>
      </w:r>
    </w:p>
    <w:p>
      <w:pPr>
        <w:spacing w:after="120"/>
        <w:ind w:firstLine="709"/>
      </w:pPr>
      <w:r>
        <w:rPr>
          <w:sz w:val="24"/>
        </w:rPr>
        <w:t xml:space="preserve">2. Передаточный акт утверждается учредителями (участниками) юридического лица или органом, принявшим решение о реорганизации юридического лица, и представляется вместе с учредительными документами для государственной регистрации юридических лиц, создаваемых в результате реорганизации, или внесения изменений в учредительные документы существующих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вместе с учредительными документами передаточного акта,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лиц, создаваемых в результате реорганизации.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59</dc:title>
  <dc:creator>АРБИТРАЖ! · arbi.ru</dc:creator>
  <cp:lastModifiedBy>АРБИТРАЖ!</cp:lastModifiedBy>
  <dcterms:created xsi:type="dcterms:W3CDTF">2026-10-22T11:08:10.521Z</dcterms:created>
</cp:coreProperties>
</file>