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60.2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99-ФЗ)</w:t>
      </w:r>
    </w:p>
    <w:p>
      <w:pPr>
        <w:spacing w:after="120"/>
        <w:ind w:firstLine="709"/>
      </w:pPr>
      <w:r>
        <w:rPr>
          <w:sz w:val="24"/>
        </w:rPr>
        <w:t xml:space="preserve">1. Суд по требованию участника корпорации, голосовавшего против принятия решения о реорганизации этой корпорации или не принимавшего участия в голосовании по данному вопросу, может признать реорганизацию несостоявшейся в случае, если решение о реорганизации не принималось участниками реорганизованной корпорации, а также в случае представления для государственной регистрации юридических лиц, создаваемых путем реорганизации, документов, содержащих заведомо недостоверные данные о реорганизации.</w:t>
      </w:r>
    </w:p>
    <w:p>
      <w:pPr>
        <w:spacing w:after="120"/>
        <w:ind w:firstLine="709"/>
      </w:pPr>
      <w:r>
        <w:rPr>
          <w:sz w:val="24"/>
        </w:rPr>
        <w:t xml:space="preserve">2. Решение суда о признании реорганизации несостоявшейся влечет следующие правовые последствия:</w:t>
      </w:r>
    </w:p>
    <w:p>
      <w:pPr>
        <w:spacing w:after="120"/>
        <w:ind w:firstLine="709"/>
      </w:pPr>
      <w:r>
        <w:rPr>
          <w:sz w:val="24"/>
        </w:rPr>
        <w:t xml:space="preserve">1) восстанавливаются юридические лица, существовавшие до реорганизации, с одновременным прекращением юридических лиц, созданных в результате реорганизации, о чем делаются соответствующие записи в едином государственном реестре юридических лиц;</w:t>
      </w:r>
    </w:p>
    <w:p>
      <w:pPr>
        <w:spacing w:after="120"/>
        <w:ind w:firstLine="709"/>
      </w:pPr>
      <w:r>
        <w:rPr>
          <w:sz w:val="24"/>
        </w:rPr>
        <w:t xml:space="preserve">2) сделки юридических лиц, созданных в результате реорганизации, с лицами, добросовестно полагавшимися на правопреемство, сохраняют силу для восстановленных юридических лиц, которые являются солидарными должниками и солидарными кредиторами по таким сделкам;</w:t>
      </w:r>
    </w:p>
    <w:p>
      <w:pPr>
        <w:spacing w:after="120"/>
        <w:ind w:firstLine="709"/>
      </w:pPr>
      <w:r>
        <w:rPr>
          <w:sz w:val="24"/>
        </w:rPr>
        <w:t xml:space="preserve">3) переход прав и обязанностей признается несостоявшимся, при этом предоставление (платежи, услуги и т.п.), осуществленное в пользу юридического лица, созданного в результате реорганизации, должниками, добросовестно полагавшимися на правопреемство на стороне кредитора, признается совершенным в пользу управомоченного лица. Если за счет имущества (активов) одного из юридических лиц, участвовавших в реорганизации, исполнены обязанности другого из них, перешедшие к юридическому лицу, созданному в результате реорганизации, к отношениям указанных лиц применяются правила об обязательствах вследствие неосновательного обогащения (глава 60) . Произведенные выплаты могут быть оспорены по заявлению лица, за счет средств которого они были произведены, если получатель исполнения знал или должен был знать о незаконности реорганизации;</w:t>
      </w:r>
    </w:p>
    <w:p>
      <w:pPr>
        <w:spacing w:after="120"/>
        <w:ind w:firstLine="709"/>
      </w:pPr>
      <w:r>
        <w:rPr>
          <w:sz w:val="24"/>
        </w:rPr>
        <w:t xml:space="preserve">4) участники ранее существовавшего юридического лица признаются обладателями долей участия в нем в том размере, в котором доли принадлежали им до реорганизации, а при смене участников юридического лица в ходе такой реорганизации или по ее окончании доли участия участников ранее существовавшего юридического лица возвращаются им по правилам, предусмотренным пунктом 3 статьи 65.2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60.2</dc:title>
  <dc:creator>АРБИТРАЖ! · arbi.ru</dc:creator>
  <cp:lastModifiedBy>АРБИТРАЖ!</cp:lastModifiedBy>
  <dcterms:created xsi:type="dcterms:W3CDTF">2026-10-22T22:55:56.284Z</dcterms:created>
</cp:coreProperties>
</file>