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64.2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Считается фактически прекратившим свою деятельность и подлежит исключению из единого государственного реестра юридических лиц в порядке , установленном законом о государственной регистрации юридических лиц, юридическое лицо, которое в течение двенадцати месяцев, предшествующих его исключению из указанного реестра, не представляло документы отчетности, предусмотренные законодательством Российской Федерации о налогах и сборах, и не осуществляло операций хотя бы по одному банковскому счету (недействующее юридическое лицо).</w:t>
      </w:r>
    </w:p>
    <w:p>
      <w:pPr>
        <w:spacing w:after="120"/>
        <w:ind w:firstLine="709"/>
      </w:pPr>
      <w:r>
        <w:rPr>
          <w:sz w:val="24"/>
        </w:rPr>
        <w:t xml:space="preserve">2. Исключение недействующего юридического лица из единого государственного реестра юридических лиц влечет правовые последствия, предусмотренные настоящим Кодексом и другими законами применительно к ликвидированным юридическим лицам.</w:t>
      </w:r>
    </w:p>
    <w:p>
      <w:pPr>
        <w:spacing w:after="120"/>
        <w:ind w:firstLine="709"/>
      </w:pPr>
      <w:r>
        <w:rPr>
          <w:sz w:val="24"/>
        </w:rPr>
        <w:t xml:space="preserve">3. Исключение недействующего юридического лица из единого государственного реестра юридических лиц не препятствует привлечению к ответственности лиц, указанных в статье 53.1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64.2</dc:title>
  <dc:creator>АРБИТРАЖ! · arbi.ru</dc:creator>
  <cp:lastModifiedBy>АРБИТРАЖ!</cp:lastModifiedBy>
  <dcterms:created xsi:type="dcterms:W3CDTF">2026-10-22T22:35:01.505Z</dcterms:created>
</cp:coreProperties>
</file>