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66.1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99-ФЗ)</w:t>
      </w:r>
    </w:p>
    <w:p>
      <w:pPr>
        <w:spacing w:after="120"/>
        <w:ind w:firstLine="709"/>
      </w:pPr>
      <w:r>
        <w:rPr>
          <w:sz w:val="24"/>
        </w:rPr>
        <w:t xml:space="preserve">1. Вкладом участника хозяйственного товарищества или общества в его имущество могут быть денежные средства, вещи, доли (акции) в уставных (складочных) капиталах других хозяйственных товариществ и обществ, государственные и муниципальные облигации. Таким вкладом также могут быть подлежащие денежной оценке исключительные, иные интеллектуальные права и права по лицензионным договорам, если иное не установлено законом.</w:t>
      </w:r>
    </w:p>
    <w:p>
      <w:pPr>
        <w:spacing w:after="120"/>
        <w:ind w:firstLine="709"/>
      </w:pPr>
      <w:r>
        <w:rPr>
          <w:sz w:val="24"/>
        </w:rPr>
        <w:t xml:space="preserve">2. Законом или учредительными документами хозяйственного товарищества или общества могут быть установлены виды указанного в пункте 1 настоящей статьи имущества, которое не может быть внесено для оплаты долей в уставном (складочном) капитале хозяйственного товарищества или общества.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66.1</dc:title>
  <dc:creator>АРБИТРАЖ! · arbi.ru</dc:creator>
  <cp:lastModifiedBy>АРБИТРАЖ!</cp:lastModifiedBy>
  <dcterms:created xsi:type="dcterms:W3CDTF">2026-10-23T00:20:06.267Z</dcterms:created>
</cp:coreProperties>
</file>