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66.2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Минимальный размер уставных капиталов хозяйственных обществ определяется законами о хозяйственных обществах.</w:t>
      </w:r>
    </w:p>
    <w:p>
      <w:pPr>
        <w:spacing w:after="120"/>
        <w:ind w:firstLine="709"/>
      </w:pPr>
      <w:r>
        <w:rPr>
          <w:sz w:val="24"/>
        </w:rPr>
        <w:t xml:space="preserve">Минимальные размеры уставных капиталов хозяйственных обществ, осуществляющих банковскую, страховую или иную подлежащую лицензированию деятельность, а также акционерных обществ, использующих открытую (публичную) подписку на свои акции, устанавливаются законами, определяющими особенности правового положения указанных хозяйственных обществ.</w:t>
      </w:r>
    </w:p>
    <w:p>
      <w:pPr>
        <w:spacing w:after="120"/>
        <w:ind w:firstLine="709"/>
      </w:pPr>
      <w:r>
        <w:rPr>
          <w:sz w:val="24"/>
        </w:rPr>
        <w:t xml:space="preserve">2. При оплате уставного капитала хозяйственного общества должны быть внесены денежные средства в сумме не ниже минимального размера уставного капитала ( пункт 1 настоящей статьи).</w:t>
      </w:r>
    </w:p>
    <w:p>
      <w:pPr>
        <w:spacing w:after="120"/>
        <w:ind w:firstLine="709"/>
      </w:pPr>
      <w:r>
        <w:rPr>
          <w:sz w:val="24"/>
        </w:rPr>
        <w:t xml:space="preserve">Денежная оценка неденежного вклада в уставный капитал хозяйственного общества должна быть проведена независимым оценщиком. Участники хозяйственного общества не вправе определять денежную оценку неденежного вклада в размере, превышающем сумму оценки, определенную независимым оценщиком.</w:t>
      </w:r>
    </w:p>
    <w:p>
      <w:pPr>
        <w:spacing w:after="120"/>
        <w:ind w:firstLine="709"/>
      </w:pPr>
      <w:r>
        <w:rPr>
          <w:sz w:val="24"/>
        </w:rPr>
        <w:t xml:space="preserve">3. При оплате долей в уставном капитале общества с ограниченной ответственностью не денежными средствами, а иным имуществом участники общества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суммы, на которую завышена оценка имущества, внесенного в уставный капитал, в течение пяти лет с момента государственной регистрации общества или внесения в устав общества соответствующих изменений. При внесении в уставный капитал акционерного общества не денежных средств, а иного имущества акционер, осуществивший такую оплату,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суммы, на которую завышена оценка имущества, внесенного в уставный капитал, в течение пяти лет с момента государственной регистрации общества или внесения в устав общества соответствующих изменений.</w:t>
      </w:r>
    </w:p>
    <w:p>
      <w:pPr>
        <w:spacing w:after="120"/>
        <w:ind w:firstLine="709"/>
      </w:pPr>
      <w:r>
        <w:rPr>
          <w:sz w:val="24"/>
        </w:rPr>
        <w:t xml:space="preserve">Правила настоящего пункта об ответственности участника общества и независимого оценщика не применяются к хозяйственным обществам, созданным в соответствии с законами о приватизации путем приватизации государственных или муниципальных унитарных предприятий.</w:t>
      </w:r>
    </w:p>
    <w:p>
      <w:pPr>
        <w:spacing w:after="120"/>
        <w:ind w:firstLine="709"/>
      </w:pPr>
      <w:r>
        <w:rPr>
          <w:sz w:val="24"/>
        </w:rPr>
        <w:t xml:space="preserve">4. Если иное не предусмотрено законами о хозяйственных обществах, учредители хозяйственного общества обязаны оплатить не менее трех четвертей его уставного капитала до государственной регистрации общества, а остальную часть уставного капитала хозяйственного общества - в течение первого года деятельности общества.</w:t>
      </w:r>
    </w:p>
    <w:p>
      <w:pPr>
        <w:spacing w:after="120"/>
        <w:ind w:firstLine="709"/>
      </w:pPr>
      <w:r>
        <w:rPr>
          <w:sz w:val="24"/>
        </w:rPr>
        <w:t xml:space="preserve">В случаях, если в соответствии с законом допускается государственная регистрация хозяйственного общества без предварительной оплаты трех четвертей уставного капитала, участники общества несут субсидиарную ответственность по его обязательствам, возникшим до момента полной оплаты уставного капитала.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66.2</dc:title>
  <dc:creator>АРБИТРАЖ! · arbi.ru</dc:creator>
  <cp:lastModifiedBy>АРБИТРАЖ!</cp:lastModifiedBy>
  <dcterms:created xsi:type="dcterms:W3CDTF">2026-10-22T23:29:24.904Z</dcterms:created>
</cp:coreProperties>
</file>