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67.1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05.05.2014 N 99-ФЗ)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67.1 ГК РФ</w:t>
      </w:r>
    </w:p>
    <w:p>
      <w:pPr>
        <w:spacing w:after="120"/>
        <w:ind w:firstLine="709"/>
      </w:pPr>
      <w:r>
        <w:rPr>
          <w:sz w:val="24"/>
        </w:rPr>
        <w:t xml:space="preserve">- Участник (акционер) хочет оспорить решение общего собрания общества</w:t>
      </w:r>
    </w:p>
    <w:p>
      <w:pPr>
        <w:spacing w:after="120"/>
        <w:ind w:firstLine="709"/>
      </w:pPr>
      <w:r>
        <w:rPr>
          <w:sz w:val="24"/>
        </w:rPr>
        <w:t xml:space="preserve">1. Управление в полном товариществе и товариществе на вере осуществляется в порядке, установленном статьями 71 и 84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К исключительной компетенции общего собрания участников хозяйственного общества наряду с вопросами, указанными в пункте 2 статьи 65.3 настоящего Кодекса, относятся:</w:t>
      </w:r>
    </w:p>
    <w:p>
      <w:pPr>
        <w:spacing w:after="120"/>
        <w:ind w:firstLine="709"/>
      </w:pPr>
      <w:r>
        <w:rPr>
          <w:sz w:val="24"/>
        </w:rPr>
        <w:t xml:space="preserve">1) изменение размера уставного капитала общества, если иное не предусмотрено законами о хозяйственных обществах;</w:t>
      </w:r>
    </w:p>
    <w:p>
      <w:pPr>
        <w:spacing w:after="120"/>
        <w:ind w:firstLine="709"/>
      </w:pPr>
      <w:r>
        <w:rPr>
          <w:sz w:val="24"/>
        </w:rPr>
        <w:t xml:space="preserve">2) принятие решения о передаче полномочий единоличного исполнительного органа общества другому хозяйственному обществу (управляющей организации) или индивидуальному предпринимателю (управляющему), а также утверждение такой управляющей организации или такого управляющего и условий договора с такой управляющей организацией или с таким управляющим, если уставом общества решение указанных вопросов не отнесено к компетенции коллегиального органа управления общества (пункт 4 статьи 65.3) ;</w:t>
      </w:r>
    </w:p>
    <w:p>
      <w:pPr>
        <w:spacing w:after="120"/>
        <w:ind w:firstLine="709"/>
      </w:pPr>
      <w:r>
        <w:rPr>
          <w:sz w:val="24"/>
        </w:rPr>
        <w:t xml:space="preserve">3) распределение прибылей и убытков общества.</w:t>
      </w:r>
    </w:p>
    <w:p>
      <w:pPr>
        <w:spacing w:after="120"/>
        <w:ind w:firstLine="709"/>
      </w:pPr>
      <w:r>
        <w:rPr>
          <w:sz w:val="24"/>
        </w:rPr>
        <w:t xml:space="preserve">3. Принятие общим собранием участников хозяйственного общества решения на заседании и состав участников общества, присутствовавших при его принятии, подтверждаются в отношении: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18.03.2019 N 34-ФЗ , от 28.06.2021 N 225-ФЗ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публичного акционерного общества лицом, осуществляющим ведение реестра акционеров такого общества и выполняющим функции счетной комиссии (пункт 4 статьи 97) ;</w:t>
      </w:r>
    </w:p>
    <w:p>
      <w:pPr>
        <w:spacing w:after="120"/>
        <w:ind w:firstLine="709"/>
      </w:pPr>
      <w:r>
        <w:rPr>
          <w:sz w:val="24"/>
        </w:rPr>
        <w:t xml:space="preserve">2) непубличного акционерного общества путем нотариального удостоверения или удостоверения лицом, осуществляющим ведение реестра акционеров такого общества и выполняющим функции счетной комиссии;</w:t>
      </w:r>
    </w:p>
    <w:p>
      <w:pPr>
        <w:spacing w:after="120"/>
        <w:ind w:firstLine="709"/>
      </w:pPr>
      <w:r>
        <w:rPr>
          <w:sz w:val="24"/>
        </w:rPr>
        <w:t xml:space="preserve">3) общества с ограниченной ответственностью путем нотариального удостоверения , если иной способ (подписание протокола всеми участниками или частью участников; с использованием технических средств, позволяющих достоверно установить факт принятия решения; иным способом, не противоречащим закону) не предусмотрен уставом такого общества либо решением общего собрания участников общества, принятым участниками общества единогласно.</w:t>
      </w:r>
    </w:p>
    <w:p>
      <w:pPr>
        <w:spacing w:after="120"/>
        <w:ind w:firstLine="709"/>
      </w:pPr>
      <w:r>
        <w:rPr>
          <w:sz w:val="24"/>
        </w:rPr>
        <w:t xml:space="preserve">4. Общество с ограниченной ответственностью для проведения аудита годовой бухгалтерской (финансовой) отчетности вправе, а в случаях, предусмотренных законом , обязано ежегодно привлекать аудиторскую организацию или индивидуального аудитора, которые должны быть независимы в соответствии с законом об аудиторской деятельности.</w:t>
      </w:r>
    </w:p>
    <w:p>
      <w:pPr>
        <w:spacing w:after="120"/>
        <w:ind w:firstLine="709"/>
      </w:pPr>
      <w:r>
        <w:rPr>
          <w:sz w:val="24"/>
        </w:rPr>
        <w:t xml:space="preserve">Аудит бухгалтерской (финансовой) отчетности общества с ограниченной ответственностью проводится по требованию любого из участников общества.</w:t>
      </w:r>
    </w:p>
    <w:p>
      <w:pPr>
        <w:spacing w:after="120"/>
        <w:ind w:firstLine="709"/>
      </w:pPr>
      <w:r>
        <w:rPr>
          <w:sz w:val="24"/>
        </w:rPr>
        <w:t xml:space="preserve">(п. 4 в ред. Федерального закона от 16.04.2022 N 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Публичное акционерное общество, а в случаях, предусмотренных законом, и непубличное акционерное общество для проведения аудита годовой бухгалтерской (финансовой) отчетности обязаны ежегодно привлекать аудиторскую организацию, которая должна быть независима в соответствии с законом об аудиторской деятельности.</w:t>
      </w:r>
    </w:p>
    <w:p>
      <w:pPr>
        <w:spacing w:after="120"/>
        <w:ind w:firstLine="709"/>
      </w:pPr>
      <w:r>
        <w:rPr>
          <w:sz w:val="24"/>
        </w:rPr>
        <w:t xml:space="preserve">Аудит бухгалтерской (финансовой) отчетности акционерного общества проводится по требованию акционеров, совокупная доля участия которых в уставном капитале общества составляет десять и более процентов, в отношении публичного акционерного общества аудиторской организацией, а в отношении непубличного акционерного общества аудиторской организацией или индивидуальным аудитором, которые должны быть независимы в соответствии с законом об аудиторской деятельности.</w:t>
      </w:r>
    </w:p>
    <w:p>
      <w:pPr>
        <w:spacing w:after="120"/>
        <w:ind w:firstLine="709"/>
      </w:pPr>
      <w:r>
        <w:rPr>
          <w:sz w:val="24"/>
        </w:rPr>
        <w:t xml:space="preserve">(п. 5 в ред. Федерального закона от 16.04.2022 N 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67.1</dc:title>
  <dc:creator>АРБИТРАЖ! · arbi.ru</dc:creator>
  <cp:lastModifiedBy>АРБИТРАЖ!</cp:lastModifiedBy>
  <dcterms:created xsi:type="dcterms:W3CDTF">2026-10-22T23:29:35.503Z</dcterms:created>
</cp:coreProperties>
</file>