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порядке, установленном настоящим Кодексом и законами о хозяйственных обществах.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преобразовании товарищества в общество каждый полный товарищ, ставший участником (акционером) общества, в течение двух лет несет субсидиарную ответственность всем своим имуществом по обязательствам, перешедшим к обществу от товарищества. Отчуждение бывшим товарищем принадлежавших ему долей (акций) не освобождает его от такой ответственности. Правила, изложенные в настоящем пункте, соответственно применяются при преобразовании товарищества в производственный кооператив.</w:t>
      </w:r>
    </w:p>
    <w:p>
      <w:pPr>
        <w:spacing w:after="120"/>
        <w:ind w:firstLine="709"/>
      </w:pPr>
      <w:r>
        <w:rPr>
          <w:sz w:val="24"/>
        </w:rPr>
        <w:t xml:space="preserve">3. Хозяйственные товарищества и общества не могут быть реорганизованы в некоммерческие организации, а также в унитарные коммерческие организации.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05.05.2014 N 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68</dc:title>
  <dc:creator>АРБИТРАЖ! · arbi.ru</dc:creator>
  <cp:lastModifiedBy>АРБИТРАЖ!</cp:lastModifiedBy>
  <dcterms:created xsi:type="dcterms:W3CDTF">2026-10-22T14:54:42.683Z</dcterms:created>
</cp:coreProperties>
</file>