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Полным признается товарищество, участники которого (полные товарищи)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имуществом.</w:t>
      </w:r>
    </w:p>
    <w:p>
      <w:pPr>
        <w:spacing w:after="120"/>
        <w:ind w:firstLine="709"/>
      </w:pPr>
      <w:r>
        <w:rPr>
          <w:sz w:val="24"/>
        </w:rPr>
        <w:t xml:space="preserve">2. Лицо может быть участником только одного полного товарищества.</w:t>
      </w:r>
    </w:p>
    <w:p>
      <w:pPr>
        <w:spacing w:after="120"/>
        <w:ind w:firstLine="709"/>
      </w:pPr>
      <w:r>
        <w:rPr>
          <w:sz w:val="24"/>
        </w:rPr>
        <w:t xml:space="preserve">3. Фирменное наименование полного товарищества должно содержать либо имена (наименования) всех его участников и слова "полное товарищество", либо имя (наименование) одного или нескольких участников с добавлением слов "и компания" и слова "полное товарищество".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69</dc:title>
  <dc:creator>АРБИТРАЖ! · arbi.ru</dc:creator>
  <cp:lastModifiedBy>АРБИТРАЖ!</cp:lastModifiedBy>
  <dcterms:created xsi:type="dcterms:W3CDTF">2026-10-22T20:37:51.723Z</dcterms:created>
</cp:coreProperties>
</file>