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Управление деятельностью полного товарищества осуществляется по общему согласию всех участников. Учредительным договором товарищества могут быть предусмотрены случаи, когда решение принимается большинством голосов участников.</w:t>
      </w:r>
    </w:p>
    <w:p>
      <w:pPr>
        <w:spacing w:after="120"/>
        <w:ind w:firstLine="709"/>
      </w:pPr>
      <w:r>
        <w:rPr>
          <w:sz w:val="24"/>
        </w:rPr>
        <w:t xml:space="preserve">2. Каждый участник полного товарищества имеет один голос, если учредительным договором не предусмотрен иной порядок определения количества голосов его участников.</w:t>
      </w:r>
    </w:p>
    <w:p>
      <w:pPr>
        <w:spacing w:after="120"/>
        <w:ind w:firstLine="709"/>
      </w:pPr>
      <w:r>
        <w:rPr>
          <w:sz w:val="24"/>
        </w:rPr>
        <w:t xml:space="preserve">3. Каждый участник товарищества независимо от того, уполномочен ли он вести дела товарищества, вправе получать всю информацию о деятельности товарищества и знакомиться со всей документацией по ведению дел. Отказ от этого права или его ограничение, в том числе по соглашению участников товарищества, ничтожны.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71</dc:title>
  <dc:creator>АРБИТРАЖ! · arbi.ru</dc:creator>
  <cp:lastModifiedBy>АРБИТРАЖ!</cp:lastModifiedBy>
  <dcterms:created xsi:type="dcterms:W3CDTF">2026-10-22T12:18:57.465Z</dcterms:created>
</cp:coreProperties>
</file>