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 полного товарищества обязан участвовать в его деятельности в соответствии с условиями учредительного договора.</w:t>
      </w:r>
    </w:p>
    <w:p>
      <w:pPr>
        <w:spacing w:after="120"/>
        <w:ind w:firstLine="709"/>
      </w:pPr>
      <w:r>
        <w:rPr>
          <w:sz w:val="24"/>
        </w:rPr>
        <w:t xml:space="preserve">2. Участник полного товарищества обязан внести не менее половины своего вклада в складочный капитал товарищества до его государственной регистрации. Остальная часть должна быть внесена участником в сроки, установленные учредительным договором.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убытки, если иные последствия не установлены учредительным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сделки, однородные с теми, которые составляют предмет деятельности товарищества.</w:t>
      </w:r>
    </w:p>
    <w:p>
      <w:pPr>
        <w:spacing w:after="120"/>
        <w:ind w:firstLine="709"/>
      </w:pPr>
      <w:r>
        <w:rPr>
          <w:sz w:val="24"/>
        </w:rPr>
        <w:t xml:space="preserve">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73</dc:title>
  <dc:creator>АРБИТРАЖ! · arbi.ru</dc:creator>
  <cp:lastModifiedBy>АРБИТРАЖ!</cp:lastModifiedBy>
  <dcterms:created xsi:type="dcterms:W3CDTF">2026-10-22T22:30:00.402Z</dcterms:created>
</cp:coreProperties>
</file>