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74</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3. Граждане (физические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Прибыль и убытки полного товарищества распределяются между его участниками пропорционально их долям в складочном капитале, если иное не предусмотрено учредительным договором или иным соглашением участников. Не допускается соглашение об устранении кого-либо из участников товарищества от участия в прибыли или в убытках.</w:t>
      </w:r>
    </w:p>
    <w:p>
      <w:pPr>
        <w:spacing w:after="120"/>
        <w:ind w:firstLine="709"/>
      </w:pPr>
      <w:r>
        <w:rPr>
          <w:sz w:val="24"/>
        </w:rPr>
        <w:t xml:space="preserve">2. Если вследствие понесенных товариществом убытков стоимость его чистых активов станет меньше размера его складочного капитала, полученная товариществом прибыль не распределяется между участниками до тех пор, пока стоимость чистых активов не превысит размер складочного капитала.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74</dc:title>
  <dc:creator>АРБИТРАЖ! · arbi.ru</dc:creator>
  <cp:lastModifiedBy>АРБИТРАЖ!</cp:lastModifiedBy>
  <dcterms:created xsi:type="dcterms:W3CDTF">2026-10-22T20:12:37.692Z</dcterms:created>
</cp:coreProperties>
</file>