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лицу.</w:t>
      </w:r>
    </w:p>
    <w:p>
      <w:pPr>
        <w:spacing w:after="120"/>
        <w:ind w:firstLine="709"/>
      </w:pPr>
      <w:r>
        <w:rPr>
          <w:sz w:val="24"/>
        </w:rPr>
        <w:t xml:space="preserve">При передаче доли (части доли) иному лицу к нему переходят полностью или в соответствующей части права, принадлежавшие участнику, передавшему долю (часть доли). Лицо, которому передана доля (часть доли), несет ответственность по обязательствам товарищества в порядке, установленном абзацем первым пункта 2 статьи 75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Передача всей доли иному лицу участником товарищества прекращает его участие в товариществе и влечет последствия, предусмотренные пунктом 2 статьи 75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79</dc:title>
  <dc:creator>АРБИТРАЖ! · arbi.ru</dc:creator>
  <cp:lastModifiedBy>АРБИТРАЖ!</cp:lastModifiedBy>
  <dcterms:created xsi:type="dcterms:W3CDTF">2026-10-22T11:22:36.852Z</dcterms:created>
</cp:coreProperties>
</file>