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Управление деятельностью товарищества на вере осуществляется полными товарищами. Порядок управления и ведения дел такого товарищества его полными товарищами устанавливается ими по правилам настоящего Кодекса о полном товариществе.</w:t>
      </w:r>
    </w:p>
    <w:p>
      <w:pPr>
        <w:spacing w:after="120"/>
        <w:ind w:firstLine="709"/>
      </w:pPr>
      <w:r>
        <w:rPr>
          <w:sz w:val="24"/>
        </w:rPr>
        <w:t xml:space="preserve">2. Вкладчики не вправе участвовать в управлении и ведении дел товарищества на вере, выступать от его имени иначе, как по доверенности. Они не вправе оспаривать действия полных товарищей по управлению и ведению дел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84</dc:title>
  <dc:creator>АРБИТРАЖ! · arbi.ru</dc:creator>
  <cp:lastModifiedBy>АРБИТРАЖ!</cp:lastModifiedBy>
  <dcterms:created xsi:type="dcterms:W3CDTF">2026-10-22T06:39:54.004Z</dcterms:created>
</cp:coreProperties>
</file>