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Уставный капитал общества с ограниченной ответственностью (статья 66.2) составляется из номинальной стоимости долей участников.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освобождение участника общества с ограниченной ответственностью от обязанности оплаты доли в уставном капитале общества.</w:t>
      </w:r>
    </w:p>
    <w:p>
      <w:pPr>
        <w:spacing w:after="120"/>
        <w:ind w:firstLine="709"/>
      </w:pPr>
      <w:r>
        <w:rPr>
          <w:sz w:val="24"/>
        </w:rPr>
        <w:t xml:space="preserve">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случаях, предусмотренных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27.12.2009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Уставный капитал общества с ограниченной ответственностью оплачивается его участниками в сроки и в порядке, которые предусмотрены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Последствия нарушения участниками общества сроков и порядка оплаты уставного капитала общества определяются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129-ФЗ)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(ФЗ от 08.03.2022 N 46-ФЗ 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Правила п. 4 ст. 90 ГК РФ не применяются к ипотечным агентам, специализированным обществам.</w:t>
      </w:r>
    </w:p>
    <w:p>
      <w:pPr>
        <w:spacing w:after="120"/>
        <w:ind w:firstLine="709"/>
      </w:pPr>
      <w:r>
        <w:rPr>
          <w:sz w:val="24"/>
        </w:rPr>
        <w:t xml:space="preserve">4.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капитала, общество в порядке и в срок, которые предусмотрены законом об обществах с ограниченной ответственностью, обязано увеличить стоимость чистых активов до размера уставного капитала или зарегистрировать в установленном порядке уменьшение уставного капитала. Если стоимость указанных активов общества становится меньше определенного законом минимального размера уставного капитала, общество подлежит ликвидации.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Уменьшение уставного капитала общества с ограниченной ответственностью допускается после уведомления всех его кредиторов. В этом случае последние вправе потребовать досрочного прекращения или исполнения соответствующих обязательств общества и возмещения им убытков.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кредиторов кредитных организаций и некредитных финансовых организаций, созданных в организационно-правовой форме общества с ограниченной ответственностью, определяются также законами , регулирующими деятельность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Увеличение уставного капитала общества допускается после полной оплаты всех его долей.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90</dc:title>
  <dc:creator>АРБИТРАЖ! · arbi.ru</dc:creator>
  <cp:lastModifiedBy>АРБИТРАЖ!</cp:lastModifiedBy>
  <dcterms:created xsi:type="dcterms:W3CDTF">2026-10-22T16:44:54.181Z</dcterms:created>
</cp:coreProperties>
</file>