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Уставный капитал акционерного общества составляется из номинальной стоимости акций общества, приобретенных акционерами.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сентября 2014 года. - Федеральный закон от 05.05.2014 N 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освобождение акционера от обязанности оплаты акций общества.</w:t>
      </w:r>
    </w:p>
    <w:p>
      <w:pPr>
        <w:spacing w:after="120"/>
        <w:ind w:firstLine="709"/>
      </w:pPr>
      <w:r>
        <w:rPr>
          <w:sz w:val="24"/>
        </w:rPr>
        <w:t xml:space="preserve">Оплата размещаемых обществом дополнительных акций путем зачета требований к обществу допускается в случаях, предусмотренных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27.12.2009 N 352-ФЗ)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Открытая подписка на акции акционерного общества не допускается до полной оплаты уставного капитала. При учреждении акционерного общества все его акции должны быть распределены среди учредителей.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(ФЗ от 08.03.2022 N 46-ФЗ ).</w:t>
      </w:r>
    </w:p>
    <w:p>
      <w:pPr>
        <w:spacing w:after="120"/>
        <w:ind w:firstLine="709"/>
      </w:pPr>
      <w:r>
        <w:rPr>
          <w:sz w:val="24"/>
        </w:rPr>
        <w:t xml:space="preserve">4.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капитала, общество в порядке и в срок, которые предусмотрены законом об акционерных обществах,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капитала. Если стоимость указанных активов общества становится меньше определенного законом минимального размера уставного капитала, общество подлежит ликвидации.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Законом или уставом общества, не являющегося публичным, могут быть установлены ограничения числа, суммарной номинальной стоимости акций или максимального числа голосов, принадлежащих одному акционеру.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99</dc:title>
  <dc:creator>АРБИТРАЖ! · arbi.ru</dc:creator>
  <cp:lastModifiedBy>АРБИТРАЖ!</cp:lastModifiedBy>
  <dcterms:created xsi:type="dcterms:W3CDTF">2026-10-22T20:06:56.906Z</dcterms:created>
</cp:coreProperties>
</file>