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 целях п. 1 ст. 102 определенные привилегированные акции банка не учитываются при расчете доли таких акций в общем объеме уставного капитала.</w:t>
      </w:r>
    </w:p>
    <w:p>
      <w:pPr>
        <w:spacing w:after="120"/>
        <w:ind w:firstLine="709"/>
      </w:pPr>
      <w:r>
        <w:rPr>
          <w:sz w:val="24"/>
        </w:rPr>
        <w:t xml:space="preserve">1. Доля привилегированных акций в общем объеме уставного капитала акционерного общества не должна превышать двадцати пяти процентов. При этом публичное акционерное общество не вправе размещать привилегированные акции, номинальная стоимость которых ниже номинальной стоимости обыкновенных акций.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сентября 2014 года. - Федеральный закон от 05.05.2014 N 99-ФЗ.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Акционерное общество не вправе объявлять и выплачивать дивиденды:</w:t>
      </w:r>
    </w:p>
    <w:p>
      <w:pPr>
        <w:spacing w:after="120"/>
        <w:ind w:firstLine="709"/>
      </w:pPr>
      <w:r>
        <w:rPr>
          <w:sz w:val="24"/>
        </w:rPr>
        <w:t xml:space="preserve">до полной оплаты всего уставного капитала;</w:t>
      </w:r>
    </w:p>
    <w:p>
      <w:pPr>
        <w:spacing w:after="120"/>
        <w:ind w:firstLine="709"/>
      </w:pPr>
      <w:r>
        <w:rPr>
          <w:sz w:val="24"/>
        </w:rPr>
        <w:t xml:space="preserve">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дивидендов;</w:t>
      </w:r>
    </w:p>
    <w:p>
      <w:pPr>
        <w:spacing w:after="120"/>
        <w:ind w:firstLine="709"/>
      </w:pPr>
      <w:r>
        <w:rPr>
          <w:sz w:val="24"/>
        </w:rPr>
        <w:t xml:space="preserve">в иных случаях, предусмотренных законом об акционерных обществах.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05.05.2014 N 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102</dc:title>
  <dc:creator>АРБИТРАЖ! · arbi.ru</dc:creator>
  <cp:lastModifiedBy>АРБИТРАЖ!</cp:lastModifiedBy>
  <dcterms:created xsi:type="dcterms:W3CDTF">2026-10-23T01:47:04.453Z</dcterms:created>
</cp:coreProperties>
</file>