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 производственного кооператива по своему усмотрению вправе выйти из кооператива. В этом случае ему должна быть выплачена стоимость пая или должно быть выдано имущество, стоимость которого соответствует стоимости его пая, а также должны быть произведены другие выплаты, предусмотренные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(финансовой) отчетности кооператива, если иное не предусмотрено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2.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обязанностей, возложенных на него уставом кооператива, а также в других случаях, предусмотренных законом и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Член правления кооператива может быть исключен из кооператива по решению общего собрания в связи с членством в аналогичном кооперативе.</w:t>
      </w:r>
    </w:p>
    <w:p>
      <w:pPr>
        <w:spacing w:after="120"/>
        <w:ind w:firstLine="709"/>
      </w:pPr>
      <w:r>
        <w:rPr>
          <w:sz w:val="24"/>
        </w:rPr>
        <w:t xml:space="preserve">Член кооператива, исключенный из него, имеет право на получение пая и других выплат, предусмотренных уставом кооператива, в соответствии с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Член производственного кооператива вправе передать свой пай или его часть другому члену кооператива, если иное не предусмотрено законом и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Передача пая или его части гражданину, не являющемуся членом кооператива, допускается с согласия общего собрания членов кооператива. В этом случае другие члены кооператива пользуются преимущественным правом покупки такого пая или его части.</w:t>
      </w:r>
    </w:p>
    <w:p>
      <w:pPr>
        <w:spacing w:after="120"/>
        <w:ind w:firstLine="709"/>
      </w:pPr>
      <w:r>
        <w:rPr>
          <w:sz w:val="24"/>
        </w:rPr>
        <w:t xml:space="preserve">4. В случае смерти члена производственного кооператива его наследники могут быть приняты в члены кооператива, если иное не предусмотрено уставом кооператива. В противном случае кооператив выплачивает наследникам стоимость пая умершего члена кооператива.</w:t>
      </w:r>
    </w:p>
    <w:p>
      <w:pPr>
        <w:spacing w:after="120"/>
        <w:ind w:firstLine="709"/>
      </w:pPr>
      <w:r>
        <w:rPr>
          <w:sz w:val="24"/>
        </w:rPr>
        <w:t xml:space="preserve">5.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порядке, установленном законом и уставом кооператива. Взыскание по долгам члена кооператива не может быть обращено на неделимые фонды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106.5</dc:title>
  <dc:creator>АРБИТРАЖ! · arbi.ru</dc:creator>
  <cp:lastModifiedBy>АРБИТРАЖ!</cp:lastModifiedBy>
  <dcterms:created xsi:type="dcterms:W3CDTF">2026-10-22T20:16:58.848Z</dcterms:created>
</cp:coreProperties>
</file>