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Количество учредителей общественной организации не может быть менее трех.</w:t>
      </w:r>
    </w:p>
    <w:p>
      <w:pPr>
        <w:spacing w:after="120"/>
        <w:ind w:firstLine="709"/>
      </w:pPr>
      <w:r>
        <w:rPr>
          <w:sz w:val="24"/>
        </w:rPr>
        <w:t xml:space="preserve">2. Устав общественной организации должен содержать сведения о ее наименовании и месте нахождения, предмете и целях ее деятельности, а также условия о порядке вступления (принятия) в общественную организацию и выхода из нее, составе и компетенции ее органов и порядке принятия ими решений, в том числе по вопросам, решения по которым принимаются единогласно или квалифицированным большинством голосов, об имущественных правах и обязанностях участника (члена) организации и о порядке распределения имущества, оставшегося после ликвидации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123.5</dc:title>
  <dc:creator>АРБИТРАЖ! · arbi.ru</dc:creator>
  <cp:lastModifiedBy>АРБИТРАЖ!</cp:lastModifiedBy>
  <dcterms:created xsi:type="dcterms:W3CDTF">2026-10-22T22:29:57.369Z</dcterms:created>
</cp:coreProperties>
</file>