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 (член) общественной организации осуществляет корпоративные права, предусмотренные пунктом 1 статьи 65.2 настоящего Кодекса, в порядке, установленном уставом организации. Он также вправе на равных началах с другими участниками (членами) организации безвозмездно пользоваться оказываемыми ею услугами.</w:t>
      </w:r>
    </w:p>
    <w:p>
      <w:pPr>
        <w:spacing w:after="120"/>
        <w:ind w:firstLine="709"/>
      </w:pPr>
      <w:r>
        <w:rPr>
          <w:sz w:val="24"/>
        </w:rPr>
        <w:t xml:space="preserve">2. Участник (член) общественной организации наряду с обязанностями, предусмотренными для участников корпорации пунктом 4 статьи 65.2 настоящего Кодекса, также несет обязанность уплачивать предусмотренные ее уставом членские и иные имущественные взносы.</w:t>
      </w:r>
    </w:p>
    <w:p>
      <w:pPr>
        <w:spacing w:after="120"/>
        <w:ind w:firstLine="709"/>
      </w:pPr>
      <w:r>
        <w:rPr>
          <w:sz w:val="24"/>
        </w:rPr>
        <w:t xml:space="preserve">Участник (член) общественной организации по своему усмотрению в любое время вправе выйти из организации, в которой он участвует.</w:t>
      </w:r>
    </w:p>
    <w:p>
      <w:pPr>
        <w:spacing w:after="120"/>
        <w:ind w:firstLine="709"/>
      </w:pPr>
      <w:r>
        <w:rPr>
          <w:sz w:val="24"/>
        </w:rPr>
        <w:t xml:space="preserve">3. Членство в общественной организации неотчуждаемо. Осуществление прав участника (члена) общественной организации не может быть передано другому лицу.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123.6</dc:title>
  <dc:creator>АРБИТРАЖ! · arbi.ru</dc:creator>
  <cp:lastModifiedBy>АРБИТРАЖ!</cp:lastModifiedBy>
  <dcterms:created xsi:type="dcterms:W3CDTF">2026-10-22T12:55:13.007Z</dcterms:created>
</cp:coreProperties>
</file>