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исключительной компетенции высшего органа ассоциации (союза) наряду с вопросами, указанными в пункте 2 статьи 65.3 настоящего Кодекса, относится также принятие решений о порядке определения размера и способа уплаты членских взносов, о дополнительных имущественных взносах членов ассоциации (союза) в ее имущество и о размере их субсидиарной ответственности по обязательствам ассоциации (союза), если такая ответственность предусмотрена законом или уставом.</w:t>
      </w:r>
    </w:p>
    <w:p>
      <w:pPr>
        <w:spacing w:after="120"/>
        <w:ind w:firstLine="709"/>
      </w:pPr>
      <w:r>
        <w:rPr>
          <w:sz w:val="24"/>
        </w:rPr>
        <w:t xml:space="preserve">2. В ассоциации (союзе) образуется единоличный исполнительный орган (председатель, президент и т.п.) и могут образовываться постоянно действующие коллегиальные исполнительные органы (совет, правление, президиум и т.п.).</w:t>
      </w:r>
    </w:p>
    <w:p>
      <w:pPr>
        <w:spacing w:after="120"/>
        <w:ind w:firstLine="709"/>
      </w:pPr>
      <w:r>
        <w:rPr>
          <w:sz w:val="24"/>
        </w:rPr>
        <w:t xml:space="preserve">По решению высшего органа ассоциации (союза) полномочия органа ассоциации (союза) могут быть досрочно прекращены в случаях грубого нарушения этим органом своих обязанностей, обнаружившейся неспособности к надлежащему ведению дел или при наличии иных серьезных оснований.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123.10</dc:title>
  <dc:creator>АРБИТРАЖ! · arbi.ru</dc:creator>
  <cp:lastModifiedBy>АРБИТРАЖ!</cp:lastModifiedBy>
  <dcterms:created xsi:type="dcterms:W3CDTF">2026-10-22T08:01:12.034Z</dcterms:created>
</cp:coreProperties>
</file>