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исключительной компетенции высшего органа товарищества собственников недвижимости наряду с вопросами, указанными в пункте 2 статьи 65.3 настоящего Кодекса, относится также принятие решений об установлении размера обязательных платежей и взносов членов товарищества.</w:t>
      </w:r>
    </w:p>
    <w:p>
      <w:pPr>
        <w:spacing w:after="120"/>
        <w:ind w:firstLine="709"/>
      </w:pPr>
      <w:r>
        <w:rPr>
          <w:sz w:val="24"/>
        </w:rPr>
        <w:t xml:space="preserve">2. В товариществе собственников недвижимости создаются единоличный исполнительный орган (председатель) и постоянно действующий коллегиальный исполнительный орган (правление).</w:t>
      </w:r>
    </w:p>
    <w:p>
      <w:pPr>
        <w:spacing w:after="120"/>
        <w:ind w:firstLine="709"/>
      </w:pPr>
      <w:r>
        <w:rPr>
          <w:sz w:val="24"/>
        </w:rPr>
        <w:t xml:space="preserve">По решению высшего органа товарищества собственников недвижимости (пункт 1 статьи 65.3) полномочия постоянно действующих органов товарищества могут быть досрочно прекращены в случаях грубого нарушения ими своих обязанностей, обнаружившейся неспособности к надлежащему ведению дел или при наличии иных серьезных оснований.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123.14</dc:title>
  <dc:creator>АРБИТРАЖ! · arbi.ru</dc:creator>
  <cp:lastModifiedBy>АРБИТРАЖ!</cp:lastModifiedBy>
  <dcterms:created xsi:type="dcterms:W3CDTF">2026-10-22T14:06:21.028Z</dcterms:created>
</cp:coreProperties>
</file>