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Имущество, переданное фонду его учредителями (учредителем), является собственностью фонда. Учредители фонда не имеют имущественных прав в отношении созданного ими фонда и не отвечают по его обязательствам, а фонд не отвечает по обязательствам своих учредителей.</w:t>
      </w:r>
    </w:p>
    <w:p>
      <w:pPr>
        <w:spacing w:after="120"/>
        <w:ind w:firstLine="709"/>
      </w:pPr>
      <w:r>
        <w:rPr>
          <w:sz w:val="24"/>
        </w:rPr>
        <w:t xml:space="preserve">2. Фонд использует имущество для целей, определенных в его уставе.</w:t>
      </w:r>
    </w:p>
    <w:p>
      <w:pPr>
        <w:spacing w:after="120"/>
        <w:ind w:firstLine="709"/>
      </w:pPr>
      <w:r>
        <w:rPr>
          <w:sz w:val="24"/>
        </w:rPr>
        <w:t xml:space="preserve">Ежегодно фонд обязан опубликовывать отчеты об использовании своего имущества.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123.18</dc:title>
  <dc:creator>АРБИТРАЖ! · arbi.ru</dc:creator>
  <cp:lastModifiedBy>АРБИТРАЖ!</cp:lastModifiedBy>
  <dcterms:created xsi:type="dcterms:W3CDTF">2026-10-22T20:08:59.179Z</dcterms:created>
</cp:coreProperties>
</file>