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или иным правовым актом, к исключительной компетенции высшего коллегиального органа фонда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приоритетных направлений деятельности фонда, принципов образования и использования его имущества;</w:t>
      </w:r>
    </w:p>
    <w:p>
      <w:pPr>
        <w:spacing w:after="120"/>
        <w:ind w:firstLine="709"/>
      </w:pPr>
      <w:r>
        <w:rPr>
          <w:sz w:val="24"/>
        </w:rPr>
        <w:t xml:space="preserve">образование других органов фонда и досрочное прекращение их полномочий;</w:t>
      </w:r>
    </w:p>
    <w:p>
      <w:pPr>
        <w:spacing w:after="120"/>
        <w:ind w:firstLine="709"/>
      </w:pPr>
      <w:r>
        <w:rPr>
          <w:sz w:val="24"/>
        </w:rPr>
        <w:t xml:space="preserve">утверждение годовых отчетов и годовой бухгалтерской (финансовой) отчетности фонда;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создании фондом хозяйственных обществ и (или) об участии в них фонда, за исключением случаев, когда уставом фонда принятие решений по указанным вопросам отнесено к компетенции иных коллегиальных органов фонда;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принятие решений о создании филиалов и (или) об открытии представительств фонда;</w:t>
      </w:r>
    </w:p>
    <w:p>
      <w:pPr>
        <w:spacing w:after="120"/>
        <w:ind w:firstLine="709"/>
      </w:pPr>
      <w:r>
        <w:rPr>
          <w:sz w:val="24"/>
        </w:rPr>
        <w:t xml:space="preserve">изменение устава фонда, если эта возможность предусмотрена уставом;</w:t>
      </w:r>
    </w:p>
    <w:p>
      <w:pPr>
        <w:spacing w:after="120"/>
        <w:ind w:firstLine="709"/>
      </w:pPr>
      <w:r>
        <w:rPr>
          <w:sz w:val="24"/>
        </w:rPr>
        <w:t xml:space="preserve">одобрение совершаемых фондом сделок в случаях, предусмотренных законом.</w:t>
      </w:r>
    </w:p>
    <w:p>
      <w:pPr>
        <w:spacing w:after="120"/>
        <w:ind w:firstLine="709"/>
      </w:pPr>
      <w:r>
        <w:rPr>
          <w:sz w:val="24"/>
        </w:rPr>
        <w:t xml:space="preserve">Законом или уставом фонда к исключительной компетенции высшего коллегиального органа фонда может быть отнесено принятие решений по иным вопросам.</w:t>
      </w:r>
    </w:p>
    <w:p>
      <w:pPr>
        <w:spacing w:after="120"/>
        <w:ind w:firstLine="709"/>
      </w:pPr>
      <w:r>
        <w:rPr>
          <w:sz w:val="24"/>
        </w:rPr>
        <w:t xml:space="preserve">2. Высший коллегиальный орган фонда избирает единоличный исполнительный орган фонда (председателя, генерального директора и т.д.) и может назначить коллегиальный исполнительный орган фонда (правление) или иной коллегиальный орган фонда, если законом или другим правовым актом указанные полномочия не отнесены к компетенции учредителя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компетенции единоличного исполнительного и (или) коллегиальных органов фонда относится решение вопросов, не входящих в исключительную компетенцию высшего коллегиального органа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Лица, уполномоченные выступать от имени фонда, обязаны по требованию членов его высшего коллегиального органа, действующих в интересах фонда, в соответствии со статьей 53.1 настоящего Кодекса возместить убытки, причиненные ими фонду.</w:t>
      </w:r>
    </w:p>
    <w:p>
      <w:pPr>
        <w:spacing w:after="120"/>
        <w:ind w:firstLine="709"/>
      </w:pPr>
      <w:r>
        <w:rPr>
          <w:sz w:val="24"/>
        </w:rPr>
        <w:t xml:space="preserve">4. Попечительский совет фонда является органом фонда и осуществляет надзор за деятельностью фонда, принятием другими органами фонда решений и обеспечением их исполнения, использованием средств фонда, соблюдением фондом законодательства. Попечительский совет фонда осуществляет свою деятельность на общественных началах.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123.19</dc:title>
  <dc:creator>АРБИТРАЖ! · arbi.ru</dc:creator>
  <cp:lastModifiedBy>АРБИТРАЖ!</cp:lastModifiedBy>
  <dcterms:created xsi:type="dcterms:W3CDTF">2026-10-22T20:07:24.944Z</dcterms:created>
</cp:coreProperties>
</file>