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123.20</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05.05.2014 N 99-ФЗ)</w:t>
      </w:r>
    </w:p>
    <w:p>
      <w:pPr>
        <w:spacing w:after="120"/>
        <w:ind w:firstLine="709"/>
      </w:pPr>
      <w:r>
        <w:rPr>
          <w:sz w:val="24"/>
        </w:rPr>
        <w:t xml:space="preserve">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pPr>
        <w:spacing w:after="120"/>
        <w:ind w:firstLine="709"/>
      </w:pPr>
      <w:r>
        <w:rPr>
          <w:sz w:val="24"/>
        </w:rPr>
        <w:t xml:space="preserve">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pPr>
        <w:spacing w:after="120"/>
        <w:ind w:firstLine="709"/>
      </w:pPr>
      <w:r>
        <w:rPr>
          <w:sz w:val="24"/>
        </w:rPr>
        <w:t xml:space="preserve">2. Фонд может быть ликвидирован только на основании решения суда, принятого по заявлению заинтересованных лиц, в случае, если:</w:t>
      </w:r>
    </w:p>
    <w:p>
      <w:pPr>
        <w:spacing w:after="120"/>
        <w:ind w:firstLine="709"/>
      </w:pPr>
      <w:r>
        <w:rPr>
          <w:sz w:val="24"/>
        </w:rPr>
        <w:t xml:space="preserve">1) имущества фонда недостаточно для осуществления его целей и вероятность получения необходимого имущества нереальна;</w:t>
      </w:r>
    </w:p>
    <w:p>
      <w:pPr>
        <w:spacing w:after="120"/>
        <w:ind w:firstLine="709"/>
      </w:pPr>
      <w:r>
        <w:rPr>
          <w:sz w:val="24"/>
        </w:rPr>
        <w:t xml:space="preserve">2) цели фонда не могут быть достигнуты, а необходимые изменения целей фонда не могут быть произведены;</w:t>
      </w:r>
    </w:p>
    <w:p>
      <w:pPr>
        <w:spacing w:after="120"/>
        <w:ind w:firstLine="709"/>
      </w:pPr>
      <w:r>
        <w:rPr>
          <w:sz w:val="24"/>
        </w:rPr>
        <w:t xml:space="preserve">3) фонд в своей деятельности уклоняется от целей, предусмотренных уставом;</w:t>
      </w:r>
    </w:p>
    <w:p>
      <w:pPr>
        <w:spacing w:after="120"/>
        <w:ind w:firstLine="709"/>
      </w:pPr>
      <w:r>
        <w:rPr>
          <w:sz w:val="24"/>
        </w:rPr>
        <w:t xml:space="preserve">4) в других случаях, предусмотренных законом.</w:t>
      </w:r>
    </w:p>
    <w:p>
      <w:pPr>
        <w:spacing w:after="120"/>
        <w:ind w:firstLine="709"/>
      </w:pPr>
      <w:r>
        <w:rPr>
          <w:sz w:val="24"/>
        </w:rPr>
        <w:t xml:space="preserve">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pPr>
        <w:spacing w:after="120"/>
        <w:ind w:firstLine="709"/>
      </w:pPr>
      <w:r>
        <w:rPr>
          <w:sz w:val="24"/>
        </w:rPr>
        <w:t xml:space="preserve">&lt;div class="</w:t>
      </w:r>
    </w:p>
    <w:p/>
    <w:p>
      <w:pPr>
        <w:spacing w:after="120"/>
        <w:ind w:firstLine="709"/>
      </w:pPr>
      <w:r>
        <w:rPr>
          <w:sz w:val="24"/>
        </w:rPr>
        <w:t xml:space="preserve">## Статья 123.20-1, статья 123.20-2, статья 123.20-3. Утратили силу</w:t>
      </w:r>
    </w:p>
    <w:p>
      <w:pPr>
        <w:spacing w:after="120"/>
        <w:ind w:firstLine="709"/>
      </w:pPr>
      <w:r>
        <w:rPr>
          <w:sz w:val="24"/>
        </w:rPr>
        <w:t xml:space="preserve">Статьи 123.20-1 - 123.20-3. Утратили силу с 1 марта 2022 года. - Федеральный закон от 01.07.2021 N 287-ФЗ.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123.20-4. Основные положения о личном фонде</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а также иным имуществом в соответствии с утвержденными им условиями управления.</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2. Личный фонд может быть создан нотариусом после смерти гражданина в соответствии с его завещанием (наследственный фонд). Положения настоящего Кодекса о личных фондах применяются к наследственным фондам, если иное не установлено настоящим Кодексом или не вытекает из особенностей правового положения наследственных фондов.</w:t>
      </w:r>
    </w:p>
    <w:p>
      <w:pPr>
        <w:spacing w:after="120"/>
        <w:ind w:firstLine="709"/>
      </w:pPr>
      <w:r>
        <w:rPr>
          <w:sz w:val="24"/>
        </w:rPr>
        <w:t xml:space="preserve">Учредитель личного фонда вправе предусмотреть в уставе созданного при его жизни личного фонда, что после его смерти такой личный фонд продолжает свою деятельность в соответствии с утвержденным учредителем уставом и условиями управления, при этом такой личный фонд не может быть после смерти его учредителя ликвидирован по решению его органов.</w:t>
      </w:r>
    </w:p>
    <w:p>
      <w:pPr>
        <w:spacing w:after="120"/>
        <w:ind w:firstLine="709"/>
      </w:pPr>
      <w:r>
        <w:rPr>
          <w:sz w:val="24"/>
        </w:rPr>
        <w:t xml:space="preserve">3. Гражданин, создавший личный фонд при жизни или предусмотревший в своем завещании создание наследственного фонда, признается учредителем личного фонда.</w:t>
      </w:r>
    </w:p>
    <w:p>
      <w:pPr>
        <w:spacing w:after="120"/>
        <w:ind w:firstLine="709"/>
      </w:pPr>
      <w:r>
        <w:rPr>
          <w:sz w:val="24"/>
        </w:rPr>
        <w:t xml:space="preserve">Замена учредителя личного фонда не допускается. При создании личных фондов не допускается соучредительство нескольких лиц, за исключением случаев, если учредителями личного фонда являются супруги, передающие личному фонду общее имущество (статья 256) .</w:t>
      </w:r>
    </w:p>
    <w:p>
      <w:pPr>
        <w:spacing w:after="120"/>
        <w:ind w:firstLine="709"/>
      </w:pPr>
      <w:r>
        <w:rPr>
          <w:sz w:val="24"/>
        </w:rPr>
        <w:t xml:space="preserve">4. Имущество личного фонда принадлежит личному фонду на праве собственности. Учредитель личного фонда не имеет прав на имущество созданного им фонда.</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имущества, передаваемого личному фонду (за исключением наследственного фонда) его учредителем при создании личного фонда, не может быть менее ста миллионов рублей, при этом стоимость этого имущества определяется на основании оценки его рыночной стоимости.</w:t>
      </w:r>
    </w:p>
    <w:p>
      <w:pPr>
        <w:spacing w:after="120"/>
        <w:ind w:firstLine="709"/>
      </w:pPr>
      <w:r>
        <w:rPr>
          <w:sz w:val="24"/>
        </w:rPr>
        <w:t xml:space="preserve">5. Личный фонд вправе заниматься предпринимательской деятельностью, соответствующей целям, определенным уставом личного фонда, и необходимой для достижения этих целей. Для осуществления предпринимательской деятельности личный фонд вправе создавать хозяйственные общества или участвовать в них.</w:t>
      </w:r>
    </w:p>
    <w:p>
      <w:pPr>
        <w:spacing w:after="120"/>
        <w:ind w:firstLine="709"/>
      </w:pPr>
      <w:r>
        <w:rPr>
          <w:sz w:val="24"/>
        </w:rPr>
        <w:t xml:space="preserve">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или личному фонду в течение указанного срока, этот срок может быть продлен судом, но не более чем на пять лет со дня создания личного фонда.</w:t>
      </w:r>
    </w:p>
    <w:p>
      <w:pPr>
        <w:spacing w:after="120"/>
        <w:ind w:firstLine="709"/>
      </w:pPr>
      <w:r>
        <w:rPr>
          <w:sz w:val="24"/>
        </w:rPr>
        <w:t xml:space="preserve">7. Решение учредителя личного фонда об учреждении личного фонда подлежит нотариальному удостоверению . 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pPr>
        <w:spacing w:after="120"/>
        <w:ind w:firstLine="709"/>
      </w:pPr>
      <w:r>
        <w:rPr>
          <w:sz w:val="24"/>
        </w:rPr>
        <w:t xml:space="preserve">8. Учредительным документом личного фонда является его устав.</w:t>
      </w:r>
    </w:p>
    <w:p>
      <w:pPr>
        <w:spacing w:after="120"/>
        <w:ind w:firstLine="709"/>
      </w:pPr>
      <w:r>
        <w:rPr>
          <w:sz w:val="24"/>
        </w:rPr>
        <w:t xml:space="preserve">Учредитель личного фонда вправе утвердить условия управления личным фондом и иные внутренние документы личного фонда, обязательные для всех органов личного фонда.</w:t>
      </w:r>
    </w:p>
    <w:p>
      <w:pPr>
        <w:spacing w:after="120"/>
        <w:ind w:firstLine="709"/>
      </w:pPr>
      <w:r>
        <w:rPr>
          <w:sz w:val="24"/>
        </w:rPr>
        <w:t xml:space="preserve">Устав личного фонда и условия управления личным фондом подлежат нотариальному удостоверению.</w:t>
      </w:r>
    </w:p>
    <w:p>
      <w:pPr>
        <w:spacing w:after="120"/>
        <w:ind w:firstLine="709"/>
      </w:pPr>
      <w:r>
        <w:rPr>
          <w:sz w:val="24"/>
        </w:rPr>
        <w:t xml:space="preserve">Если иное не установлено настоящим Кодексом или уставом личного фонда, информация о содержании условий управления личным фондом и содержании иных внутренних документов личного фонда не подлежит раскрытию и является конфиденциальной.</w:t>
      </w:r>
    </w:p>
    <w:p>
      <w:pPr>
        <w:spacing w:after="120"/>
        <w:ind w:firstLine="709"/>
      </w:pPr>
      <w:r>
        <w:rPr>
          <w:sz w:val="24"/>
        </w:rPr>
        <w:t xml:space="preserve">Если иное не предусмотрено уставом личного фонда, устав личного фонда, условия управления личным фондом и иные внутренние документы личного фонда при жизни учредителя фонда могут быть им изменены. После смерти учредителя личного фонда утвержденные учредителем при его жизни устав личного фонда, условия управления личным фондом и иные внутренние документы личного фонда не могут быть изменены, за исключением изменения на основании решения суда по требованию любого органа личного фонда в случаях, если управление таким фондом на прежних условиях стало невозможно по обстоятельствам, возникновение которых при создании такого фонда нельзя было предполагать.</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наследственного фонда в случаях, если управление наследственным фондом на прежних условиях стало невозможно по обстоятельствам, возникновение которых при создании наследственного фонда нельзя было предполагать, а также в случае, если будет установлено, что выгодоприобретатель наследственного фонда является недостойным наследником (статья 1117) , если только это обстоятельство не было известно в момент создания наследственного фонда.</w:t>
      </w:r>
    </w:p>
    <w:p>
      <w:pPr>
        <w:spacing w:after="120"/>
        <w:ind w:firstLine="709"/>
      </w:pPr>
      <w:r>
        <w:rPr>
          <w:sz w:val="24"/>
        </w:rPr>
        <w:t xml:space="preserve">9. Наименование личного фонда должно включать слова "личный фонд". Наименование наследственного фонда должно включать слова "наследственный фонд".</w:t>
      </w:r>
    </w:p>
    <w:p>
      <w:pPr>
        <w:spacing w:after="120"/>
        <w:ind w:firstLine="709"/>
      </w:pPr>
      <w:r>
        <w:rPr>
          <w:sz w:val="24"/>
        </w:rPr>
        <w:t xml:space="preserve">10. Реорганизация личного фонда (за исключением наследственного фонда) допускается в форме слияния, присоединения, разделения, выделения при условии, что в результате такой реорганизации образуются личный фонд или личные фонды, созданные тем же учредителем. При жизни учредителя личного фонда допускается также преобразование личного фонда в общественно полезный фонд по решению учредителя.</w:t>
      </w:r>
    </w:p>
    <w:p>
      <w:pPr>
        <w:spacing w:after="120"/>
        <w:ind w:firstLine="709"/>
      </w:pPr>
      <w:r>
        <w:rPr>
          <w:sz w:val="24"/>
        </w:rPr>
        <w:t xml:space="preserve">Реорганизация личного фонда после смерти его учредителя не допускается, за исключением преобразования личного фонда в общественно полезный фонд в случаях, предусмотренных условиями управления личным фондом и пунктом 6 статьи 123.20-5 настоящего Кодекса.</w:t>
      </w:r>
    </w:p>
    <w:p>
      <w:pPr>
        <w:spacing w:after="120"/>
        <w:ind w:firstLine="709"/>
      </w:pPr>
      <w:r>
        <w:rPr>
          <w:sz w:val="24"/>
        </w:rPr>
        <w:t xml:space="preserve">11. Ликвидация личного фонда осуществляется по решению суда:</w:t>
      </w:r>
    </w:p>
    <w:p>
      <w:pPr>
        <w:spacing w:after="120"/>
        <w:ind w:firstLine="709"/>
      </w:pPr>
      <w:r>
        <w:rPr>
          <w:sz w:val="24"/>
        </w:rPr>
        <w:t xml:space="preserve">1) в порядке и по основаниям, предусмотренным подпунктами 1 - 4 пункта 3 статьи 61 настоящего Кодекса, а также по иску уполномоченного государственного органа в случае осуществления личным фондом деятельности, указанной в законодательстве Российской Федерации об иностранных агентах;</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2) по требованию единоличного исполнительного органа личного фонда в связи с наступлением срока, до истечения которого создавался личный фонд;</w:t>
      </w:r>
    </w:p>
    <w:p>
      <w:pPr>
        <w:spacing w:after="120"/>
        <w:ind w:firstLine="709"/>
      </w:pPr>
      <w:r>
        <w:rPr>
          <w:sz w:val="24"/>
        </w:rPr>
        <w:t xml:space="preserve">3) по требованию единоличного исполнительного органа личного фонда в связи с наступлением указанных в условиях управления личным фондом обстоятельств;</w:t>
      </w:r>
    </w:p>
    <w:p>
      <w:pPr>
        <w:spacing w:after="120"/>
        <w:ind w:firstLine="709"/>
      </w:pPr>
      <w:r>
        <w:rPr>
          <w:sz w:val="24"/>
        </w:rPr>
        <w:t xml:space="preserve">4) по требованию выгодоприобретателя личного фонда в случае невозможности формирования органов личного фонда (отсутствие кворума в коллегиальных органах, отсутствие единоличного исполнительного органа);</w:t>
      </w:r>
    </w:p>
    <w:p>
      <w:pPr>
        <w:spacing w:after="120"/>
        <w:ind w:firstLine="709"/>
      </w:pPr>
      <w:r>
        <w:rPr>
          <w:sz w:val="24"/>
        </w:rPr>
        <w:t xml:space="preserve">5) по требованию единоличного исполнительного органа личного фонда в связи с невозможностью на протяжении трех лет, если иной срок не предусмотрен уставом личного фонда, выполнить предусмотренные учредителем личного фонда условия, в соответствии с которыми подлежат определению выгодоприобретатели личного фонда.</w:t>
      </w:r>
    </w:p>
    <w:p>
      <w:pPr>
        <w:spacing w:after="120"/>
        <w:ind w:firstLine="709"/>
      </w:pPr>
      <w:r>
        <w:rPr>
          <w:sz w:val="24"/>
        </w:rPr>
        <w:t xml:space="preserve">Оставшееся после ликвидации личного фонда имущество подлежит передаче выгодоприобретателям личного фонда соразмерно объему их прав на получение имущества или дохода от деятельности личного фонда, если условиями управления личным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личного фонда имущество, такое имущество подлежит передаче в собственность учредителя (учредителей) личного фонда, а если к этому моменту брак между учредителями, передавшими фонду общее имущество, расторгнут, - в общую долевую собственность учредителей, доли которых в передаваемом им имуществе признаются равными, если иное не установлено соглашением между ними или решением суда. При отсутствии возможности определить лиц, которым подлежит передаче оставшееся после ликвидации наследственного фонда имущество, такое имущество подлежит передаче в соответствии с решением суда в собственность Российской Федерации.</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12. Отчет об использовании имущества личного фонда не подлежит опубликованию, за исключением случаев, предусмотренных условиями управления личным фондом.</w:t>
      </w:r>
    </w:p>
    <w:p/>
    <w:p>
      <w:pPr>
        <w:spacing w:after="120"/>
        <w:ind w:firstLine="709"/>
      </w:pPr>
      <w:r>
        <w:rPr>
          <w:sz w:val="24"/>
        </w:rPr>
        <w:t xml:space="preserve">## Статья 123.20-5. Условия управления личным фондом</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w:t>
      </w:r>
    </w:p>
    <w:p>
      <w:pPr>
        <w:spacing w:after="120"/>
        <w:ind w:firstLine="709"/>
      </w:pPr>
      <w:r>
        <w:rPr>
          <w:sz w:val="24"/>
        </w:rPr>
        <w:t xml:space="preserve">2. Условиями управления личным фондом может быть предусмотрено, что выгодоприобретатели личного фонда или отдельные категории лиц, которым подлежит передаче имущество личного фонда, определяются органами личного фонда в соответствии с условиями управления личным фондом.</w:t>
      </w:r>
    </w:p>
    <w:p>
      <w:pPr>
        <w:spacing w:after="120"/>
        <w:ind w:firstLine="709"/>
      </w:pPr>
      <w:r>
        <w:rPr>
          <w:sz w:val="24"/>
        </w:rPr>
        <w:t xml:space="preserve">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pPr>
        <w:spacing w:after="120"/>
        <w:ind w:firstLine="709"/>
      </w:pPr>
      <w:r>
        <w:rPr>
          <w:sz w:val="24"/>
        </w:rPr>
        <w:t xml:space="preserve">4. Выгодоприобретателями личного фонда могут быть любые участники регулируемых гражданским законодательством отношений, за исключением коммерческих юридических лиц. Учредитель личного фонда не может быть выгодоприобретателем личного фонда, если иное не предусмотрено уставом этого фонда.</w:t>
      </w:r>
    </w:p>
    <w:p>
      <w:pPr>
        <w:spacing w:after="120"/>
        <w:ind w:firstLine="709"/>
      </w:pPr>
      <w:r>
        <w:rPr>
          <w:sz w:val="24"/>
        </w:rPr>
        <w:t xml:space="preserve">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w:t>
      </w:r>
    </w:p>
    <w:p>
      <w:pPr>
        <w:spacing w:after="120"/>
        <w:ind w:firstLine="709"/>
      </w:pPr>
      <w:r>
        <w:rPr>
          <w:sz w:val="24"/>
        </w:rPr>
        <w:t xml:space="preserve">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(статья 123.17) , при этом устав личного фонда, условия управления личным фондом и иные внутренние документы личного фонда, утвержденные его учредителем, не подлежат изменению, а в едином государственном реестре юридических лиц отражаются сведения о новом наименовании этого фонда и об изменении его организационно-правовой формы.</w:t>
      </w:r>
    </w:p>
    <w:p/>
    <w:p>
      <w:pPr>
        <w:spacing w:after="120"/>
        <w:ind w:firstLine="709"/>
      </w:pPr>
      <w:r>
        <w:rPr>
          <w:sz w:val="24"/>
        </w:rPr>
        <w:t xml:space="preserve">## Статья 123.20-6. Права выгодоприобретателя личного фонда</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Выгодоприобретатель личного фонда имеет право на получение имущества в соответствии с условиями управления личным фондом, а также иные права, предусмотренные настоящим Кодексом.</w:t>
      </w:r>
    </w:p>
    <w:p>
      <w:pPr>
        <w:spacing w:after="120"/>
        <w:ind w:firstLine="709"/>
      </w:pPr>
      <w:r>
        <w:rPr>
          <w:sz w:val="24"/>
        </w:rPr>
        <w:t xml:space="preserve">Права выгодоприобретателя личного фонда не могут переходить к другим лицам, в том числе в случае универсального правопреемства, за исключением случаев преобразования выгодоприобретателя - юридического лица, если условиями управления личным фондом не предусмотрено прекращение прав такого выгодоприобретателя при его преобразовании. На права выгодоприобретателя личного фонда, в том числе выгодоприобретателя наследственного фонда, не может быть обращено взыскание по обязательствам такого выгодоприобретателя. Сделки, совершенные с нарушением этих правил, являются ничтожными.</w:t>
      </w:r>
    </w:p>
    <w:p>
      <w:pPr>
        <w:spacing w:after="120"/>
        <w:ind w:firstLine="709"/>
      </w:pPr>
      <w:r>
        <w:rPr>
          <w:sz w:val="24"/>
        </w:rPr>
        <w:t xml:space="preserve">2. Права гражданина-выгодоприобретателя наследственного фонда не переходят по наследству. Права выгодоприобретателя - юридического лица наследственного фонда прекращаются в случае реорганизации выгодоприобретателя - юридического лица,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pPr>
        <w:spacing w:after="120"/>
        <w:ind w:firstLine="709"/>
      </w:pPr>
      <w:r>
        <w:rPr>
          <w:sz w:val="24"/>
        </w:rPr>
        <w:t xml:space="preserve">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наследственного фонда от права на получение имущества новые выгодоприобретатели наследственного фонда определяются в соответствии с условиями управления наследственным фондом, в частности, они могут быть определены путем подназначения.</w:t>
      </w:r>
    </w:p>
    <w:p>
      <w:pPr>
        <w:spacing w:after="120"/>
        <w:ind w:firstLine="709"/>
      </w:pPr>
      <w:r>
        <w:rPr>
          <w:sz w:val="24"/>
        </w:rPr>
        <w:t xml:space="preserve">3. В случаях, предусмотренных уставом личного фонда, выгодоприобретатель вправе запрашивать и получать у личного фонда информацию о деятельности личного фонда.</w:t>
      </w:r>
    </w:p>
    <w:p>
      <w:pPr>
        <w:spacing w:after="120"/>
        <w:ind w:firstLine="709"/>
      </w:pPr>
      <w:r>
        <w:rPr>
          <w:sz w:val="24"/>
        </w:rPr>
        <w:t xml:space="preserve">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w:t>
      </w:r>
    </w:p>
    <w:p>
      <w:pPr>
        <w:spacing w:after="120"/>
        <w:ind w:firstLine="709"/>
      </w:pPr>
      <w:r>
        <w:rPr>
          <w:sz w:val="24"/>
        </w:rPr>
        <w:t xml:space="preserve">5. В случае нарушения условий управления личным фондом, повлекшего возникновение у выгодоприобретателя личного фонда убытков, последний вправе потребовать их возмещения, если это право предусмотрено уставом личного фонда.</w:t>
      </w:r>
    </w:p>
    <w:p>
      <w:pPr>
        <w:spacing w:after="120"/>
        <w:ind w:firstLine="709"/>
      </w:pPr>
      <w:r>
        <w:rPr>
          <w:sz w:val="24"/>
        </w:rPr>
        <w:t xml:space="preserve">6. Выгодоприобретатель не отвечает по обязательствам личного фонда, а личный фонд не отвечает по обязательствам выгодоприобретателя.</w:t>
      </w:r>
    </w:p>
    <w:p/>
    <w:p>
      <w:pPr>
        <w:spacing w:after="120"/>
        <w:ind w:firstLine="709"/>
      </w:pPr>
      <w:r>
        <w:rPr>
          <w:sz w:val="24"/>
        </w:rPr>
        <w:t xml:space="preserve">## Статья 123.20-7. Управление личным фондом</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При жизни учредителя личного фонда состав органов, их функции и лица, входящие в состав органов этого фонда, определяются в соответствии с уставом и условиями управления личным фондом.</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После смерти гражданина, учредившего личный фонд при жизни, органы личного фонда формируются и изменяются в соответствии с уставом и условиями управления этого фонда, при этом лица, входящие в состав органов личного фонда или имеющие право войти в состав органов этого фонда, а также выгодоприобретатели этого фонда вправе требовать формирования и изменения органов личного фонда в соответствии с его уставом и условиями управления личным фондом. Уставом личного фонда и условиями управления личным фондом может быть предусмотрен порядок определения членов коллегиальных органов личного фонда и лица, осуществляющего полномочия единоличного исполнительного органа личного фонда, в случае их выбытия, в том числе предусмотрено подназначение указанных лиц из определенного списка.</w:t>
      </w:r>
    </w:p>
    <w:p>
      <w:pPr>
        <w:spacing w:after="120"/>
        <w:ind w:firstLine="709"/>
      </w:pPr>
      <w:r>
        <w:rPr>
          <w:sz w:val="24"/>
        </w:rPr>
        <w:t xml:space="preserve">2. В качестве единоличного исполнительного органа личного фонда или члена коллегиального органа личного фонда может выступать любое физическое или юридическое лицо, назначенное в соответствии с уставом личного фонда, за исключением учредителя личного фонда.</w:t>
      </w:r>
    </w:p>
    <w:p>
      <w:pPr>
        <w:spacing w:after="120"/>
        <w:ind w:firstLine="709"/>
      </w:pPr>
      <w:r>
        <w:rPr>
          <w:sz w:val="24"/>
        </w:rPr>
        <w:t xml:space="preserve">Выгодоприобретатель наследственного фонда не может выступать в качестве единоличного исполнительного органа наследственного фонда или члена коллегиального исполнительного органа наследственного фонда.</w:t>
      </w:r>
    </w:p>
    <w:p>
      <w:pPr>
        <w:spacing w:after="120"/>
        <w:ind w:firstLine="709"/>
      </w:pPr>
      <w:r>
        <w:rPr>
          <w:sz w:val="24"/>
        </w:rPr>
        <w:t xml:space="preserve">3. В случаях, предусмотренных уставом личного фонда, в нем создаются высший коллегиальный орган и попечительский совет, в состав которых могут входить выгодоприобретатели или учредитель личного фонда.</w:t>
      </w:r>
    </w:p>
    <w:p>
      <w:pPr>
        <w:spacing w:after="120"/>
        <w:ind w:firstLine="709"/>
      </w:pPr>
      <w:r>
        <w:rPr>
          <w:sz w:val="24"/>
        </w:rPr>
        <w:t xml:space="preserve">Уставом личного фонда может быть также предусмотрено создание надзорного органа личного фонда, полномочия которого состоят в осуществлении надзора за деятельностью органов личного фонда, в согласовании совершения личным фондом определенных в уставе юридически значимых действий и (или) в принятии решения о досрочном прекращении полномочий единоличного исполнительного органа личного фонда, нарушившего свою обязанность действовать добросовестно или разумно в интересах личного фонда и (или) его выгодоприобретателей, и о назначении временного единоличного исполнительного органа личного фонда.</w:t>
      </w:r>
    </w:p>
    <w:p>
      <w:pPr>
        <w:spacing w:after="120"/>
        <w:ind w:firstLine="709"/>
      </w:pPr>
      <w:r>
        <w:rPr>
          <w:sz w:val="24"/>
        </w:rPr>
        <w:t xml:space="preserve">4. Условиями управления личным фондом могут быть предусмотрены порядок выплаты и размер вознаграждения лицу, осуществляющему полномочия единоличного исполнительного органа личного фонда, членам попечительского совета личного фонда или членам иных органов личного фонда, а также лицу, осуществляющему функции надзорного органа личного фонда, за исполнение своих обязанностей.</w:t>
      </w:r>
    </w:p>
    <w:p>
      <w:pPr>
        <w:spacing w:after="120"/>
        <w:ind w:firstLine="709"/>
      </w:pPr>
      <w:r>
        <w:rPr>
          <w:sz w:val="24"/>
        </w:rPr>
        <w:t xml:space="preserve">5. Уставом личного фонда может быть предусмотрена необходимость получения согласия высшего коллегиального органа личного фонда, надзорного органа личного фонда или иного органа личного фонда на совершение личным фондом указанных в уставе сделок.</w:t>
      </w:r>
    </w:p>
    <w:p>
      <w:pPr>
        <w:spacing w:after="120"/>
        <w:ind w:firstLine="709"/>
      </w:pPr>
      <w:r>
        <w:rPr>
          <w:sz w:val="24"/>
        </w:rPr>
        <w:t xml:space="preserve">6. Аудит деятельности личного фонда проводится по основаниям, предусмотренным условиями управления личным фондом, а также по требованию выгодоприобретателя личного фонда в порядке, предусмотренном пунктом 4 статьи 123.20-6 настоящего Кодекса.</w:t>
      </w:r>
    </w:p>
    <w:p>
      <w:pPr>
        <w:spacing w:after="120"/>
        <w:ind w:firstLine="709"/>
      </w:pPr>
      <w:r>
        <w:rPr>
          <w:sz w:val="24"/>
        </w:rPr>
        <w:t xml:space="preserve">7. Если в течение года со дня возникновения необходимости формирования органов наследственного фонда или органов личного фонда, созданного при жизни учредителя и продолжающего свою деятельность после его смерти, такие органы не будут сформированы (отсутствие кворума в коллегиальных органах, отсутствие единоличного исполнительного органа), такие фонды подлежат ликвидации по требованию выгодоприобретателей таких фондов или уполномоченного государственного органа. До истечения указанного срока органы (при их наличии) наследственного фонда или личного фонда, созданного при жизни учредителя и продолжающего свою деятельность после его смерти, продолжают осуществлять деятельность этого наследственного фонда или этого личного фонда в соответствии с условиями управления такими фондами.</w:t>
      </w:r>
    </w:p>
    <w:p/>
    <w:p>
      <w:pPr>
        <w:spacing w:after="120"/>
        <w:ind w:firstLine="709"/>
      </w:pPr>
      <w:r>
        <w:rPr>
          <w:sz w:val="24"/>
        </w:rPr>
        <w:t xml:space="preserve">## Статья 123.20-8. Создание наследственного фонда и управление им</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После смерти гражданина, который предусмотрел в своем завещании создание наследственного фонда, такой наследственный фонд подлежит созданию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разделом V настоящего Кодекса.</w:t>
      </w:r>
    </w:p>
    <w:p>
      <w:pPr>
        <w:spacing w:after="120"/>
        <w:ind w:firstLine="709"/>
      </w:pPr>
      <w:r>
        <w:rPr>
          <w:sz w:val="24"/>
        </w:rPr>
        <w:t xml:space="preserve">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p>
      <w:pPr>
        <w:spacing w:after="120"/>
        <w:ind w:firstLine="709"/>
      </w:pPr>
      <w:r>
        <w:rPr>
          <w:sz w:val="24"/>
        </w:rPr>
        <w:t xml:space="preserve">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pPr>
        <w:spacing w:after="120"/>
        <w:ind w:firstLine="709"/>
      </w:pPr>
      <w:r>
        <w:rPr>
          <w:sz w:val="24"/>
        </w:rPr>
        <w:t xml:space="preserve">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pPr>
        <w:spacing w:after="120"/>
        <w:ind w:firstLine="709"/>
      </w:pPr>
      <w:r>
        <w:rPr>
          <w:sz w:val="24"/>
        </w:rPr>
        <w:t xml:space="preserve">2. При создании наследственного фонда нотариус, получивший от наследственного фонда заявление о принятии наследства, обязан выдать такому фонду свидетельство о праве на наследство в срок, указанный в решении об учреждении наследственного фонда, но не позднее срока, предусмотренного статьей 1154 настоящего Кодекса. В случае неисполнения нотариусом указанных обязанностей наследственный фонд вправе обжаловать бездействие нотариуса.</w:t>
      </w:r>
    </w:p>
    <w:p>
      <w:pPr>
        <w:spacing w:after="120"/>
        <w:ind w:firstLine="709"/>
      </w:pPr>
      <w:r>
        <w:rPr>
          <w:sz w:val="24"/>
        </w:rPr>
        <w:t xml:space="preserve">3. До направления нотариусом указанного в абзаце третьем пункта 1 настоящей статьи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войти в состав органов наследственного фонда. При согласии указанных лиц войти в состав органов наследственного фонда нотариус направляет сведения о них в уполномоченный государственный орган.</w:t>
      </w:r>
    </w:p>
    <w:p>
      <w:pPr>
        <w:spacing w:after="120"/>
        <w:ind w:firstLine="709"/>
      </w:pPr>
      <w:r>
        <w:rPr>
          <w:sz w:val="24"/>
        </w:rPr>
        <w:t xml:space="preserve">В случае отказа лица, указанного в решении об учреждении наследственного фонда, войти в состав органов наследственного фонда и невозможности сформировать органы наследственного фонда в соответствии с решением об учреждении наследственного фонда нотариус не вправе направлять в уполномоченный государственный орган заявление о создании наследственного фонда.</w:t>
      </w:r>
    </w:p>
    <w:p>
      <w:pPr>
        <w:spacing w:after="120"/>
        <w:ind w:firstLine="709"/>
      </w:pPr>
      <w:r>
        <w:rPr>
          <w:sz w:val="24"/>
        </w:rPr>
        <w:t xml:space="preserve">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наследственного фонда. Уставом наследственного фонда может быть предусмотрен порядок определения членов коллегиальных органов наследственного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pPr>
        <w:spacing w:after="120"/>
        <w:ind w:firstLine="709"/>
      </w:pPr>
      <w:r>
        <w:rPr>
          <w:sz w:val="24"/>
        </w:rPr>
        <w:t xml:space="preserve">5. Условия управления наследственным фондом должны включать в себя положения, указанные в пунктах 1 и 3 статьи 123.20-5 настоящего Кодекса.</w:t>
      </w:r>
    </w:p>
    <w:p>
      <w:pPr>
        <w:spacing w:after="120"/>
        <w:ind w:firstLine="709"/>
      </w:pPr>
      <w:r>
        <w:rPr>
          <w:sz w:val="24"/>
        </w:rPr>
        <w:t xml:space="preserve">Условия управления наследственным фондом до направления нотариусом указанного в абзаце третьем пункта 1 настоящей статьи заявления доводятся им до сведения лиц, входящих в состав органов наследственного фонда, и могут быть раскрыты только выгодоприобретателям в соответствии с пунктом 5 статьи 123.20-5 настоящего Кодекса, а также в предусмотренных законом случаях органам государственной власти и органам местного самоуправления.</w:t>
      </w:r>
    </w:p>
    <w:p>
      <w:pPr>
        <w:spacing w:after="120"/>
        <w:ind w:firstLine="709"/>
      </w:pPr>
      <w:r>
        <w:rPr>
          <w:sz w:val="24"/>
        </w:rPr>
        <w:t xml:space="preserve">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наследственного фонда, отчеты оценщиков, заключения ревизионной комиссии (ревизора) наследственного фонда, аудитора наследственного фонда, государственных и муниципальных органов финансового контроля, судебные акты по спорам, связанным с управлением наследственным фондом, иные документы, предусмотренные настоящим Кодексом, уставом наследственного фонда и условиями управления наследственным фондом.</w:t>
      </w:r>
    </w:p>
    <w:p>
      <w:pPr>
        <w:spacing w:after="120"/>
        <w:ind w:firstLine="709"/>
      </w:pPr>
      <w:r>
        <w:rPr>
          <w:sz w:val="24"/>
        </w:rPr>
        <w:t xml:space="preserve">Уставом наследственного фонда может быть предусмотрено хранение документов, указанных в абзаце первом настоящего пункта, у нотариуса по правилам, предусмотренным законодательством о нотариате.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123.20</dc:title>
  <dc:creator>АРБИТРАЖ! · arbi.ru</dc:creator>
  <cp:lastModifiedBy>АРБИТРАЖ!</cp:lastModifiedBy>
  <dcterms:created xsi:type="dcterms:W3CDTF">2026-10-22T21:56:20.295Z</dcterms:created>
</cp:coreProperties>
</file>