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123.20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spacing w:after="120"/>
        <w:ind w:firstLine="709"/>
      </w:pPr>
      <w:r>
        <w:rPr>
          <w:sz w:val="24"/>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spacing w:after="120"/>
        <w:ind w:firstLine="709"/>
      </w:pPr>
      <w:r>
        <w:rPr>
          <w:sz w:val="24"/>
        </w:rPr>
        <w:t xml:space="preserve">2. Фонд может быть ликвидирован только на основании решения суда, принятого по заявлению заинтересованных лиц, в случае, если:</w:t>
      </w:r>
    </w:p>
    <w:p>
      <w:pPr>
        <w:spacing w:after="120"/>
        <w:ind w:firstLine="709"/>
      </w:pPr>
      <w:r>
        <w:rPr>
          <w:sz w:val="24"/>
        </w:rPr>
        <w:t xml:space="preserve">1) имущества фонда недостаточно для осуществления его целей и вероятность получения необходимого имущества нереальна;</w:t>
      </w:r>
    </w:p>
    <w:p>
      <w:pPr>
        <w:spacing w:after="120"/>
        <w:ind w:firstLine="709"/>
      </w:pPr>
      <w:r>
        <w:rPr>
          <w:sz w:val="24"/>
        </w:rPr>
        <w:t xml:space="preserve">2) цели фонда не могут быть достигнуты, а необходимые изменения целей фонда не могут быть произведены;</w:t>
      </w:r>
    </w:p>
    <w:p>
      <w:pPr>
        <w:spacing w:after="120"/>
        <w:ind w:firstLine="709"/>
      </w:pPr>
      <w:r>
        <w:rPr>
          <w:sz w:val="24"/>
        </w:rPr>
        <w:t xml:space="preserve">3) фонд в своей деятельности уклоняется от целей, предусмотренных уставом;</w:t>
      </w:r>
    </w:p>
    <w:p>
      <w:pPr>
        <w:spacing w:after="120"/>
        <w:ind w:firstLine="709"/>
      </w:pPr>
      <w:r>
        <w:rPr>
          <w:sz w:val="24"/>
        </w:rPr>
        <w:t xml:space="preserve">4) в других случаях, предусмотренных законом.</w:t>
      </w:r>
    </w:p>
    <w:p>
      <w:pPr>
        <w:spacing w:after="120"/>
        <w:ind w:firstLine="709"/>
      </w:pPr>
      <w:r>
        <w:rPr>
          <w:sz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spacing w:after="120"/>
        <w:ind w:firstLine="709"/>
      </w:pPr>
      <w:r>
        <w:rPr>
          <w:sz w:val="24"/>
        </w:rPr>
        <w:t xml:space="preserve">&lt;div class="</w:t>
      </w:r>
    </w:p>
    <w:p/>
    <w:p>
      <w:pPr>
        <w:spacing w:after="120"/>
        <w:ind w:firstLine="709"/>
      </w:pPr>
      <w:r>
        <w:rPr>
          <w:sz w:val="24"/>
        </w:rPr>
        <w:t xml:space="preserve">## Статья 123.20-1, статья 123.20-2, статья 123.20-3. Утратили силу</w:t>
      </w:r>
    </w:p>
    <w:p>
      <w:pPr>
        <w:spacing w:after="120"/>
        <w:ind w:firstLine="709"/>
      </w:pPr>
      <w:r>
        <w:rPr>
          <w:sz w:val="24"/>
        </w:rPr>
        <w:t xml:space="preserve">Статьи 123.20-1 - 123.20-3. Утратили силу с 1 марта 2022 года. - Федеральный закон от 01.07.2021 N 287-ФЗ.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123.20-4. Основные положения о личном фонде</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w:t>
      </w:r>
    </w:p>
    <w:p>
      <w:pPr>
        <w:spacing w:after="120"/>
        <w:ind w:firstLine="709"/>
      </w:pPr>
      <w:r>
        <w:rPr>
          <w:sz w:val="24"/>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spacing w:after="120"/>
        <w:ind w:firstLine="709"/>
      </w:pPr>
      <w:r>
        <w:rPr>
          <w:sz w:val="24"/>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spacing w:after="120"/>
        <w:ind w:firstLine="709"/>
      </w:pPr>
      <w:r>
        <w:rPr>
          <w:sz w:val="24"/>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(статья 256) .</w:t>
      </w:r>
    </w:p>
    <w:p>
      <w:pPr>
        <w:spacing w:after="120"/>
        <w:ind w:firstLine="709"/>
      </w:pPr>
      <w:r>
        <w:rPr>
          <w:sz w:val="24"/>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spacing w:after="120"/>
        <w:ind w:firstLine="709"/>
      </w:pPr>
      <w:r>
        <w:rPr>
          <w:sz w:val="24"/>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pPr>
        <w:spacing w:after="120"/>
        <w:ind w:firstLine="709"/>
      </w:pPr>
      <w:r>
        <w:rPr>
          <w:sz w:val="24"/>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spacing w:after="120"/>
        <w:ind w:firstLine="709"/>
      </w:pPr>
      <w:r>
        <w:rPr>
          <w:sz w:val="24"/>
        </w:rPr>
        <w:t xml:space="preserve">7. Решение учредителя личного фонда об учреждении личного фонда подлежит нотариальному удостоверению .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spacing w:after="120"/>
        <w:ind w:firstLine="709"/>
      </w:pPr>
      <w:r>
        <w:rPr>
          <w:sz w:val="24"/>
        </w:rPr>
        <w:t xml:space="preserve">8. Учредительным документом личного фонда является его устав.</w:t>
      </w:r>
    </w:p>
    <w:p>
      <w:pPr>
        <w:spacing w:after="120"/>
        <w:ind w:firstLine="709"/>
      </w:pPr>
      <w:r>
        <w:rPr>
          <w:sz w:val="24"/>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spacing w:after="120"/>
        <w:ind w:firstLine="709"/>
      </w:pPr>
      <w:r>
        <w:rPr>
          <w:sz w:val="24"/>
        </w:rPr>
        <w:t xml:space="preserve">Устав личного фонда и условия управления личным фондом подлежат нотариальному удостоверению.</w:t>
      </w:r>
    </w:p>
    <w:p>
      <w:pPr>
        <w:spacing w:after="120"/>
        <w:ind w:firstLine="709"/>
      </w:pPr>
      <w:r>
        <w:rPr>
          <w:sz w:val="24"/>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spacing w:after="120"/>
        <w:ind w:firstLine="709"/>
      </w:pPr>
      <w:r>
        <w:rPr>
          <w:sz w:val="24"/>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(статья 1117) , если только это обстоятельство не было известно в момент создания наследственного фонда.</w:t>
      </w:r>
    </w:p>
    <w:p>
      <w:pPr>
        <w:spacing w:after="120"/>
        <w:ind w:firstLine="709"/>
      </w:pPr>
      <w:r>
        <w:rPr>
          <w:sz w:val="24"/>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spacing w:after="120"/>
        <w:ind w:firstLine="709"/>
      </w:pPr>
      <w:r>
        <w:rPr>
          <w:sz w:val="24"/>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spacing w:after="120"/>
        <w:ind w:firstLine="709"/>
      </w:pPr>
      <w:r>
        <w:rPr>
          <w:sz w:val="24"/>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пунктом 6 статьи 123.20-5 настоящего Кодекса.</w:t>
      </w:r>
    </w:p>
    <w:p>
      <w:pPr>
        <w:spacing w:after="120"/>
        <w:ind w:firstLine="709"/>
      </w:pPr>
      <w:r>
        <w:rPr>
          <w:sz w:val="24"/>
        </w:rPr>
        <w:t xml:space="preserve">11. Ликвидация личного фонда осуществляется по решению суда:</w:t>
      </w:r>
    </w:p>
    <w:p>
      <w:pPr>
        <w:spacing w:after="120"/>
        <w:ind w:firstLine="709"/>
      </w:pPr>
      <w:r>
        <w:rPr>
          <w:sz w:val="24"/>
        </w:rPr>
        <w:t xml:space="preserve">1) в порядке и по основаниям, предусмотренным подпунктами 1 - 4 пункта 3 статьи 61 настоящего Кодекса, а также по иску уполномоченного государственного органа в случае осуществления личным фондом деятельности, указанной в законодательстве Российской Федерации об иностранных агентах;</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spacing w:after="120"/>
        <w:ind w:firstLine="709"/>
      </w:pPr>
      <w:r>
        <w:rPr>
          <w:sz w:val="24"/>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spacing w:after="120"/>
        <w:ind w:firstLine="709"/>
      </w:pPr>
      <w:r>
        <w:rPr>
          <w:sz w:val="24"/>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spacing w:after="120"/>
        <w:ind w:firstLine="709"/>
      </w:pPr>
      <w:r>
        <w:rPr>
          <w:sz w:val="24"/>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spacing w:after="120"/>
        <w:ind w:firstLine="709"/>
      </w:pPr>
      <w:r>
        <w:rPr>
          <w:sz w:val="24"/>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
      <w:pPr>
        <w:spacing w:after="120"/>
        <w:ind w:firstLine="709"/>
      </w:pPr>
      <w:r>
        <w:rPr>
          <w:sz w:val="24"/>
        </w:rPr>
        <w:t xml:space="preserve">## Статья 123.20-5. Условия управления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spacing w:after="120"/>
        <w:ind w:firstLine="709"/>
      </w:pPr>
      <w:r>
        <w:rPr>
          <w:sz w:val="24"/>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pPr>
        <w:spacing w:after="120"/>
        <w:ind w:firstLine="709"/>
      </w:pPr>
      <w:r>
        <w:rPr>
          <w:sz w:val="24"/>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spacing w:after="120"/>
        <w:ind w:firstLine="709"/>
      </w:pPr>
      <w:r>
        <w:rPr>
          <w:sz w:val="24"/>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pPr>
        <w:spacing w:after="120"/>
        <w:ind w:firstLine="709"/>
      </w:pPr>
      <w:r>
        <w:rPr>
          <w:sz w:val="24"/>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pPr>
        <w:spacing w:after="120"/>
        <w:ind w:firstLine="709"/>
      </w:pPr>
      <w:r>
        <w:rPr>
          <w:sz w:val="24"/>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
      <w:pPr>
        <w:spacing w:after="120"/>
        <w:ind w:firstLine="709"/>
      </w:pPr>
      <w:r>
        <w:rPr>
          <w:sz w:val="24"/>
        </w:rPr>
        <w:t xml:space="preserve">## Статья 123.20-6. Права выгодоприобретателя личного фонда</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spacing w:after="120"/>
        <w:ind w:firstLine="709"/>
      </w:pPr>
      <w:r>
        <w:rPr>
          <w:sz w:val="24"/>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spacing w:after="120"/>
        <w:ind w:firstLine="709"/>
      </w:pPr>
      <w:r>
        <w:rPr>
          <w:sz w:val="24"/>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spacing w:after="120"/>
        <w:ind w:firstLine="709"/>
      </w:pPr>
      <w:r>
        <w:rPr>
          <w:sz w:val="24"/>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spacing w:after="120"/>
        <w:ind w:firstLine="709"/>
      </w:pPr>
      <w:r>
        <w:rPr>
          <w:sz w:val="24"/>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pPr>
        <w:spacing w:after="120"/>
        <w:ind w:firstLine="709"/>
      </w:pPr>
      <w:r>
        <w:rPr>
          <w:sz w:val="24"/>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spacing w:after="120"/>
        <w:ind w:firstLine="709"/>
      </w:pPr>
      <w:r>
        <w:rPr>
          <w:sz w:val="24"/>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spacing w:after="120"/>
        <w:ind w:firstLine="709"/>
      </w:pPr>
      <w:r>
        <w:rPr>
          <w:sz w:val="24"/>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
      <w:pPr>
        <w:spacing w:after="120"/>
        <w:ind w:firstLine="709"/>
      </w:pPr>
      <w:r>
        <w:rPr>
          <w:sz w:val="24"/>
        </w:rPr>
        <w:t xml:space="preserve">## Статья 123.20-7. Управление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spacing w:after="120"/>
        <w:ind w:firstLine="709"/>
      </w:pPr>
      <w:r>
        <w:rPr>
          <w:sz w:val="24"/>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spacing w:after="120"/>
        <w:ind w:firstLine="709"/>
      </w:pPr>
      <w:r>
        <w:rPr>
          <w:sz w:val="24"/>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spacing w:after="120"/>
        <w:ind w:firstLine="709"/>
      </w:pPr>
      <w:r>
        <w:rPr>
          <w:sz w:val="24"/>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spacing w:after="120"/>
        <w:ind w:firstLine="709"/>
      </w:pPr>
      <w:r>
        <w:rPr>
          <w:sz w:val="24"/>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spacing w:after="120"/>
        <w:ind w:firstLine="709"/>
      </w:pPr>
      <w:r>
        <w:rPr>
          <w:sz w:val="24"/>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spacing w:after="120"/>
        <w:ind w:firstLine="709"/>
      </w:pPr>
      <w:r>
        <w:rPr>
          <w:sz w:val="24"/>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пунктом 4 статьи 123.20-6 настоящего Кодекса.</w:t>
      </w:r>
    </w:p>
    <w:p>
      <w:pPr>
        <w:spacing w:after="120"/>
        <w:ind w:firstLine="709"/>
      </w:pPr>
      <w:r>
        <w:rPr>
          <w:sz w:val="24"/>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
      <w:pPr>
        <w:spacing w:after="120"/>
        <w:ind w:firstLine="709"/>
      </w:pPr>
      <w:r>
        <w:rPr>
          <w:sz w:val="24"/>
        </w:rPr>
        <w:t xml:space="preserve">## Статья 123.20-8. Создание наследственного фонда и управление им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разделом V настоящего Кодекса.</w:t>
      </w:r>
    </w:p>
    <w:p>
      <w:pPr>
        <w:spacing w:after="120"/>
        <w:ind w:firstLine="709"/>
      </w:pPr>
      <w:r>
        <w:rPr>
          <w:sz w:val="24"/>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pPr>
        <w:spacing w:after="120"/>
        <w:ind w:firstLine="709"/>
      </w:pPr>
      <w:r>
        <w:rPr>
          <w:sz w:val="24"/>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spacing w:after="120"/>
        <w:ind w:firstLine="709"/>
      </w:pPr>
      <w:r>
        <w:rPr>
          <w:sz w:val="24"/>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spacing w:after="120"/>
        <w:ind w:firstLine="709"/>
      </w:pPr>
      <w:r>
        <w:rPr>
          <w:sz w:val="24"/>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статьей 1154 настоящего Кодекса. В случае неисполнения нотариусом указанных обязанностей наследственный фонд вправе обжаловать бездействие нотариуса.</w:t>
      </w:r>
    </w:p>
    <w:p>
      <w:pPr>
        <w:spacing w:after="120"/>
        <w:ind w:firstLine="709"/>
      </w:pPr>
      <w:r>
        <w:rPr>
          <w:sz w:val="24"/>
        </w:rPr>
        <w:t xml:space="preserve">3. До направления нотариусом указанного в абзаце третьем пункта 1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spacing w:after="120"/>
        <w:ind w:firstLine="709"/>
      </w:pPr>
      <w:r>
        <w:rPr>
          <w:sz w:val="24"/>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spacing w:after="120"/>
        <w:ind w:firstLine="709"/>
      </w:pPr>
      <w:r>
        <w:rPr>
          <w:sz w:val="24"/>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5. Условия управления наследственным фондом должны включать в себя положения, указанные в пунктах 1 и 3 статьи 123.20-5 настоящего Кодекса.</w:t>
      </w:r>
    </w:p>
    <w:p>
      <w:pPr>
        <w:spacing w:after="120"/>
        <w:ind w:firstLine="709"/>
      </w:pPr>
      <w:r>
        <w:rPr>
          <w:sz w:val="24"/>
        </w:rPr>
        <w:t xml:space="preserve">Условия управления наследственным фондом до направления нотариусом указанного в абзаце третьем пункта 1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пунктом 5 статьи 123.20-5 настоящего Кодекса, а также в предусмотренных законом случаях органам государственной власти и органам местного самоуправления.</w:t>
      </w:r>
    </w:p>
    <w:p>
      <w:pPr>
        <w:spacing w:after="120"/>
        <w:ind w:firstLine="709"/>
      </w:pPr>
      <w:r>
        <w:rPr>
          <w:sz w:val="24"/>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spacing w:after="120"/>
        <w:ind w:firstLine="709"/>
      </w:pPr>
      <w:r>
        <w:rPr>
          <w:sz w:val="24"/>
        </w:rPr>
        <w:t xml:space="preserve">Уставом наследственного фонда может быть предусмотрено хранение документов, указанных в абзаце первом настоящего пункта, у нотариуса по правилам, предусмотренным законодательством о нотариате.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123.20</dc:title>
  <dc:creator>АРБИТРАЖ! · arbi.ru</dc:creator>
  <cp:lastModifiedBy>АРБИТРАЖ!</cp:lastModifiedBy>
  <dcterms:created xsi:type="dcterms:W3CDTF">2026-10-22T20:05:44.204Z</dcterms:created>
</cp:coreProperties>
</file>