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Частное учреждение полностью или частично финансируется собственником его имущества.</w:t>
      </w:r>
    </w:p>
    <w:p>
      <w:pPr>
        <w:spacing w:after="120"/>
        <w:ind w:firstLine="709"/>
      </w:pPr>
      <w:r>
        <w:rPr>
          <w:sz w:val="24"/>
        </w:rPr>
        <w:t xml:space="preserve">2. Частное учреждение отвечает по своим обязательствам находящимися в его распоряжении денежными средствами. При недостаточности указанных денежных средств субсидиарную ответственность по обязательствам частного учреждения несет собственник его имущества.</w:t>
      </w:r>
    </w:p>
    <w:p>
      <w:pPr>
        <w:spacing w:after="120"/>
        <w:ind w:firstLine="709"/>
      </w:pPr>
      <w:r>
        <w:rPr>
          <w:sz w:val="24"/>
        </w:rPr>
        <w:t xml:space="preserve">3. Частное учреждение может быть преобразовано учредителем в автономную некоммерческую организацию или фонд.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123.23</dc:title>
  <dc:creator>АРБИТРАЖ! · arbi.ru</dc:creator>
  <cp:lastModifiedBy>АРБИТРАЖ!</cp:lastModifiedBy>
  <dcterms:created xsi:type="dcterms:W3CDTF">2026-10-22T21:56:02.663Z</dcterms:created>
</cp:coreProperties>
</file>