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Управление деятельностью автономной некоммерческой организации осуществляют ее учредители в порядке, установленном ее уставом, утвержденным ее учредителями.</w:t>
      </w:r>
    </w:p>
    <w:p>
      <w:pPr>
        <w:spacing w:after="120"/>
        <w:ind w:firstLine="709"/>
      </w:pPr>
      <w:r>
        <w:rPr>
          <w:sz w:val="24"/>
        </w:rPr>
        <w:t xml:space="preserve">2. По решению учредителей (учредителя) автономной некоммерческой организации в ней может быть создан постоянно действующий коллегиальный орган (органы), компетенция которого устанавливается уставом автономной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3. Учредители (учредитель) автономной некоммерческой организации назначают единоличный исполнительный орган автономной некоммерческой организации (председателя, генерального директора и т.п.). Единоличным исполнительным органом автономной некоммерческой организации может быть назначен один из ее учредителей-граждан.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123.25</dc:title>
  <dc:creator>АРБИТРАЖ! · arbi.ru</dc:creator>
  <cp:lastModifiedBy>АРБИТРАЖ!</cp:lastModifiedBy>
  <dcterms:created xsi:type="dcterms:W3CDTF">2026-10-23T01:17:45.441Z</dcterms:created>
</cp:coreProperties>
</file>