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5. Участие Российской Федерации, субъектов Российской Федерации, муниципальных образований в отношениях, регулируемых гражданским законодательством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Российская Федерация, субъекты Российской Федерации: республики, края, области, города федерального значения, автономная область, автономные округа, а также городские, сельские поселения и другие муниципальные образования выступают в отношениях, регулируемых гражданским законодательством, на равных началах с иными участниками этих отношений - гражданами и юридическими лицами.</w:t>
      </w:r>
    </w:p>
    <w:p>
      <w:pPr>
        <w:spacing w:after="120"/>
        <w:ind w:firstLine="709"/>
      </w:pPr>
      <w:r>
        <w:rPr>
          <w:sz w:val="24"/>
        </w:rPr>
        <w:t xml:space="preserve">2. К субъектам гражданского права, указанным в пункте 1 настоящей статьи, применяются нормы, определяющие участие юридических лиц в отношениях, регулируемых гражданским законодательством, если иное не вытекает из закона или особенностей данных субъектов.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124</dc:title>
  <dc:creator>АРБИТРАЖ! · arbi.ru</dc:creator>
  <cp:lastModifiedBy>АРБИТРАЖ!</cp:lastModifiedBy>
  <dcterms:created xsi:type="dcterms:W3CDTF">2026-10-23T00:19:51.070Z</dcterms:created>
</cp:coreProperties>
</file>