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Объекты гражданских прав могут свободно отчуждаться или переходить от одного лица к другому в порядке универсального правопреемства (наследование, реорганизация юридического лица) либо иным способом, если они не ограничены в обороте.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Законом или в установленном законом порядке могут быть введены ограничения оборотоспособности объектов гражданских прав, в частности могут быть предусмотрены виды объектов гражданских прав, которые могут принадлежать лишь определенным участникам оборота либо совершение сделок с которыми допускается по специальному разрешению.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Земля и другие природные ресурсы могут отчуждаться или переходить от одного лица к другому иными способами в той мере, в какой их оборот допускается законами о земле и других природных ресурсах.</w:t>
      </w:r>
    </w:p>
    <w:p>
      <w:pPr>
        <w:spacing w:after="120"/>
        <w:ind w:firstLine="709"/>
      </w:pPr>
      <w:r>
        <w:rPr>
          <w:sz w:val="24"/>
        </w:rPr>
        <w:t xml:space="preserve">4. Результаты интеллектуальной деятельности и приравненные к ним средства индивидуализации ( статья 1225 ) не могут отчуждаться или иными способами переходить от одного лица к другому. Однако права на такие результаты и средства, а также материальные носители, в которых выражены соответствующие результаты или средства, могут отчуждаться или иными способами переходить от одного лица к другому в случаях и в порядке, которые установлены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18.12.2006 N 231-ФЗ)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129</dc:title>
  <dc:creator>АРБИТРАЖ! · arbi.ru</dc:creator>
  <cp:lastModifiedBy>АРБИТРАЖ!</cp:lastModifiedBy>
  <dcterms:created xsi:type="dcterms:W3CDTF">2026-10-22T20:07:47.999Z</dcterms:created>
</cp:coreProperties>
</file>