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137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6. Общие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К животным применяются общие правила об имуществе постольку, поскольку законом или иными правовыми актами не установлено иное.</w:t>
      </w:r>
    </w:p>
    <w:p>
      <w:pPr>
        <w:spacing w:after="120"/>
        <w:ind w:firstLine="709"/>
      </w:pPr>
      <w:r>
        <w:rPr>
          <w:sz w:val="24"/>
        </w:rPr>
        <w:t xml:space="preserve">При осуществлении прав не допускается жестокое обращение с животными, противоречащее принципам гуманности.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137</dc:title>
  <dc:creator>АРБИТРАЖ! · arbi.ru</dc:creator>
  <cp:lastModifiedBy>АРБИТРАЖ!</cp:lastModifiedBy>
  <dcterms:created xsi:type="dcterms:W3CDTF">2026-10-22T23:38:51.063Z</dcterms:created>
</cp:coreProperties>
</file>