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140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6.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140 ГК РФ &gt;&gt;&gt;</w:t>
      </w:r>
    </w:p>
    <w:p>
      <w:pPr>
        <w:spacing w:after="120"/>
        <w:ind w:firstLine="709"/>
      </w:pPr>
      <w:r>
        <w:rPr>
          <w:sz w:val="24"/>
        </w:rPr>
        <w:t xml:space="preserve">1. Рубль является законным платежным средством, обязательным к приему по нарицательной стоимости на всей территории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Платежи на территории Российской Федерации осуществляются путем наличных и безналичных расчетов, включая расчеты цифровыми рублями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24.07.2023 N 339-ФЗ)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Случаи, порядок и условия использования иностранной валюты на территории Российской Федерации определяются законом или в установленном им порядке.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140</dc:title>
  <dc:creator>АРБИТРАЖ! · arbi.ru</dc:creator>
  <cp:lastModifiedBy>АРБИТРАЖ!</cp:lastModifiedBy>
  <dcterms:created xsi:type="dcterms:W3CDTF">2026-10-22T23:29:54.944Z</dcterms:created>
</cp:coreProperties>
</file>