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141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Виды имущества, признаваемого валютными ценностями , и порядок совершения сделок с ними определяются законом о валютном регулировании и валютном контроле.</w:t>
      </w:r>
    </w:p>
    <w:p>
      <w:pPr>
        <w:spacing w:after="120"/>
        <w:ind w:firstLine="709"/>
      </w:pPr>
      <w:r>
        <w:rPr>
          <w:sz w:val="24"/>
        </w:rPr>
        <w:t xml:space="preserve">Права на валютные ценности защищаются в Российской Федерации на общих основаниях.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141</dc:title>
  <dc:creator>АРБИТРАЖ! · arbi.ru</dc:creator>
  <cp:lastModifiedBy>АРБИТРАЖ!</cp:lastModifiedBy>
  <dcterms:created xsi:type="dcterms:W3CDTF">2026-10-22T22:34:03.672Z</dcterms:created>
</cp:coreProperties>
</file>