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18.03.2019 N 34-ФЗ)</w:t>
      </w:r>
    </w:p>
    <w:p>
      <w:pPr>
        <w:spacing w:after="120"/>
        <w:ind w:firstLine="709"/>
      </w:pPr>
      <w:r>
        <w:rPr>
          <w:sz w:val="24"/>
        </w:rPr>
        <w:t xml:space="preserve">1. Цифровыми правами признаются названные в таком качестве в законе обязательственные и иные права, содержание и условия осуществления которых определяются в соответствии с правилами информационной системы, отвечающей установленным законом признакам. Осуществление, распоряжение, в том числе передача, залог,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законом, обладателем цифрового права признается лицо, которое в соответствии с правилами информационной системы имеет возможность распоряжаться этим правом. В случаях и по основаниям, которые предусмотрены законом, обладателем цифрового права признается иное лицо.</w:t>
      </w:r>
    </w:p>
    <w:p>
      <w:pPr>
        <w:spacing w:after="120"/>
        <w:ind w:firstLine="709"/>
      </w:pPr>
      <w:r>
        <w:rPr>
          <w:sz w:val="24"/>
        </w:rPr>
        <w:t xml:space="preserve">3. Переход цифрового права на основании сделки не требует согласия лица, обязанного по такому цифровому праву.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141.1</dc:title>
  <dc:creator>АРБИТРАЖ! · arbi.ru</dc:creator>
  <cp:lastModifiedBy>АРБИТРАЖ!</cp:lastModifiedBy>
  <dcterms:created xsi:type="dcterms:W3CDTF">2026-10-22T22:01:11.458Z</dcterms:created>
</cp:coreProperties>
</file>