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141.5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6.1. Недвижимые вещи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21.12.2021 N 430-ФЗ)</w:t>
      </w:r>
    </w:p>
    <w:p>
      <w:pPr>
        <w:spacing w:after="120"/>
        <w:ind w:firstLine="709"/>
      </w:pPr>
      <w:r>
        <w:rPr>
          <w:sz w:val="24"/>
        </w:rPr>
        <w:t xml:space="preserve">1. Законом могут быть установлены запреты или ограничения на образование отдельных видов недвижимых вещей либо условия, при соблюдении которых допускается образование таких недвижимых вещей.</w:t>
      </w:r>
    </w:p>
    <w:p>
      <w:pPr>
        <w:spacing w:after="120"/>
        <w:ind w:firstLine="709"/>
      </w:pPr>
      <w:r>
        <w:rPr>
          <w:sz w:val="24"/>
        </w:rPr>
        <w:t xml:space="preserve">2. Обременения, установленные в отношении исходной недвижимой вещи, сохраняются в отношении всех образованных недвижимых вещей, если настоящим Кодексом или соглашением собственника исходной недвижимой вещи с лицом, в пользу которого установлено обременение, не определено иное.</w:t>
      </w:r>
    </w:p>
    <w:p>
      <w:pPr>
        <w:spacing w:after="120"/>
        <w:ind w:firstLine="709"/>
      </w:pPr>
      <w:r>
        <w:rPr>
          <w:sz w:val="24"/>
        </w:rPr>
        <w:t xml:space="preserve">3. При разделе линейного объекта, в том числе при осуществлении которого не производится его реконструкция, могут быть образованы один или несколько линейных объектов, включая линейный объект, раздел которого осуществлен, с измененными параметрами.</w:t>
      </w:r>
    </w:p>
    <w:p/>
    <w:p>
      <w:pPr>
        <w:spacing w:after="120"/>
        <w:ind w:firstLine="709"/>
      </w:pPr>
      <w:r>
        <w:rPr>
          <w:sz w:val="24"/>
        </w:rPr>
        <w:t xml:space="preserve">§ 1. Общие положения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141.5</dc:title>
  <dc:creator>АРБИТРАЖ! · arbi.ru</dc:creator>
  <cp:lastModifiedBy>АРБИТРАЖ!</cp:lastModifiedBy>
  <dcterms:created xsi:type="dcterms:W3CDTF">2026-10-22T22:33:40.498Z</dcterms:created>
</cp:coreProperties>
</file>