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Ценными бумагами являются документы, соответствующие установленным законом требованиям и удостоверяющие обязательственные и иные права, осуществление или передача которых возможны только при предъявлении таких документов (документарные ценные бумаги).</w:t>
      </w:r>
    </w:p>
    <w:p>
      <w:pPr>
        <w:spacing w:after="120"/>
        <w:ind w:firstLine="709"/>
      </w:pPr>
      <w:r>
        <w:rPr>
          <w:sz w:val="24"/>
        </w:rPr>
        <w:t xml:space="preserve">Ценными бумагами признаются также обязательственные и иные права, которые закреплены в решении о выпуске или ином акте лица, выпустившего ценные бумаги в соответствии с требованиями закона, и осуществление и передача которых возможны только с соблюдением правил учета этих прав в соответствии со статьей 149 настоящего Кодекса (бездокументарные ценные бумаги).</w:t>
      </w:r>
    </w:p>
    <w:p>
      <w:pPr>
        <w:spacing w:after="120"/>
        <w:ind w:firstLine="709"/>
      </w:pPr>
      <w:r>
        <w:rPr>
          <w:sz w:val="24"/>
        </w:rPr>
        <w:t xml:space="preserve">2. Ценными бумагами являются акция, вексель, закладная, инвестиционный пай паевого инвестиционного фонда, коносамент, облигация, чек и иные ценные бумаги, названные в таком качестве в законе или признанные таковыми в установленном законом порядке.</w:t>
      </w:r>
    </w:p>
    <w:p>
      <w:pPr>
        <w:spacing w:after="120"/>
        <w:ind w:firstLine="709"/>
      </w:pPr>
      <w:r>
        <w:rPr>
          <w:sz w:val="24"/>
        </w:rPr>
        <w:t xml:space="preserve">Выпуск или выдача ценных бумаг подлежит государственной регистрации в случаях, установленных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142</dc:title>
  <dc:creator>АРБИТРАЖ! · arbi.ru</dc:creator>
  <cp:lastModifiedBy>АРБИТРАЖ!</cp:lastModifiedBy>
  <dcterms:created xsi:type="dcterms:W3CDTF">2026-10-22T23:26:29.462Z</dcterms:created>
</cp:coreProperties>
</file>