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143.1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6.1. Недвижимые вещи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Обязательные реквизиты , требования к форме документарной ценной бумаги и другие требования к документарной ценной бумаге определяются законом или в установленном им порядке.</w:t>
      </w:r>
    </w:p>
    <w:p>
      <w:pPr>
        <w:spacing w:after="120"/>
        <w:ind w:firstLine="709"/>
      </w:pPr>
      <w:r>
        <w:rPr>
          <w:sz w:val="24"/>
        </w:rPr>
        <w:t xml:space="preserve">2. При отсутствии в документе обязательных реквизитов документарной ценной бумаги, несоответствии его установленной форме и другим требованиям документ не является ценной бумагой, но сохраняет значение письменного доказательства.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143.1</dc:title>
  <dc:creator>АРБИТРАЖ! · arbi.ru</dc:creator>
  <cp:lastModifiedBy>АРБИТРАЖ!</cp:lastModifiedBy>
  <dcterms:created xsi:type="dcterms:W3CDTF">2026-10-22T20:18:16.445Z</dcterms:created>
</cp:coreProperties>
</file>