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146</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6.1. Недвижимые вещи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С переходом права на документарную ценную бумагу переходят все удостоверенные ею права в совокупности.</w:t>
      </w:r>
    </w:p>
    <w:p>
      <w:pPr>
        <w:spacing w:after="120"/>
        <w:ind w:firstLine="709"/>
      </w:pPr>
      <w:r>
        <w:rPr>
          <w:sz w:val="24"/>
        </w:rPr>
        <w:t xml:space="preserve">2. Права, удостоверенные предъявительской ценной бумагой, передаются приобретателю путем вручения ему ценной бумаги лицом, совершившим ее отчуждение.</w:t>
      </w:r>
    </w:p>
    <w:p>
      <w:pPr>
        <w:spacing w:after="120"/>
        <w:ind w:firstLine="709"/>
      </w:pPr>
      <w:r>
        <w:rPr>
          <w:sz w:val="24"/>
        </w:rPr>
        <w:t xml:space="preserve">Права, удостоверенные предъявительской ценной бумагой, могут перейти к другому лицу независимо от ее вручения в случаях и по основаниям, которые установлены законом.</w:t>
      </w:r>
    </w:p>
    <w:p>
      <w:pPr>
        <w:spacing w:after="120"/>
        <w:ind w:firstLine="709"/>
      </w:pPr>
      <w:r>
        <w:rPr>
          <w:sz w:val="24"/>
        </w:rPr>
        <w:t xml:space="preserve">3. Права, удостоверенные ордерной ценной бумагой, передаются приобретателю путем ее вручения с совершением на ней передаточной надписи - индоссамента. Если иное не предусмотрено настоящим Кодексом или законом, к передаче ордерных ценных бумаг применяются установленные законом о переводном и простом векселе правила о передаче векселя.</w:t>
      </w:r>
    </w:p>
    <w:p>
      <w:pPr>
        <w:spacing w:after="120"/>
        <w:ind w:firstLine="709"/>
      </w:pPr>
      <w:r>
        <w:rPr>
          <w:sz w:val="24"/>
        </w:rPr>
        <w:t xml:space="preserve">4. Права, удостоверенные именной документарной ценной бумагой, передаются приобретателю путем вручения ему ценной бумаги лицом, совершающим ее отчуждение, с совершением на ней именной передаточной надписи или в иной форме в соответствии с правилами, установленными для уступки требования (цессии).</w:t>
      </w:r>
    </w:p>
    <w:p>
      <w:pPr>
        <w:spacing w:after="120"/>
        <w:ind w:firstLine="709"/>
      </w:pPr>
      <w:r>
        <w:rPr>
          <w:sz w:val="24"/>
        </w:rPr>
        <w:t xml:space="preserve">Нормы параграфа 1 главы 24 настоящего Кодекса применяются к передаче прав, удостоверенных именными документарными ценными бумагами, в порядке уступки требования (цессии), если иное не установлено правилами настоящей главы , иным законом или не вытекает из существа соответствующей ценной бумаги.</w:t>
      </w:r>
    </w:p>
    <w:p>
      <w:pPr>
        <w:spacing w:after="120"/>
        <w:ind w:firstLine="709"/>
      </w:pPr>
      <w:r>
        <w:rPr>
          <w:sz w:val="24"/>
        </w:rPr>
        <w:t xml:space="preserve">5. В случае неисполнения обязательства передать ордерную или именную документарную ценную бумагу приобретатель вправе требовать ее изъятия у лица, во владении которого она находится, за исключением случаев, если на ценной бумаге учинены индоссамент или передаточная надпись лица, совершившего отчуждение, по которым права переданы иному лицу.</w:t>
      </w:r>
    </w:p>
    <w:p>
      <w:pPr>
        <w:spacing w:after="120"/>
        <w:ind w:firstLine="709"/>
      </w:pPr>
      <w:r>
        <w:rPr>
          <w:sz w:val="24"/>
        </w:rPr>
        <w:t xml:space="preserve">6. В случае неисполнения обязательства по совершению индоссамента или передаточной надписи на ордерной или именной документарной ценной бумаге переход прав на ордерную или именную документарную ценную бумагу осуществляется по требованию приобретателя на основании решения суда путем совершения лицом, осуществляющим исполнение судебного решения, надписи на ценной бумаге, которая имеет силу индоссамента или передаточной надписи.</w:t>
      </w:r>
    </w:p>
    <w:p>
      <w:pPr>
        <w:spacing w:after="120"/>
        <w:ind w:firstLine="709"/>
      </w:pPr>
      <w:r>
        <w:rPr>
          <w:sz w:val="24"/>
        </w:rPr>
        <w:t xml:space="preserve">7. Переход прав, удостоверенных ордерной или именной ценной бумагой, к другому лицу по основаниям иным, чем передача по договору, осуществляется путем приобретения права на ценную бумагу в случаях и по основаниям, которые установлены законом.</w:t>
      </w:r>
    </w:p>
    <w:p>
      <w:pPr>
        <w:spacing w:after="120"/>
        <w:ind w:firstLine="709"/>
      </w:pPr>
      <w:r>
        <w:rPr>
          <w:sz w:val="24"/>
        </w:rPr>
        <w:t xml:space="preserve">8. Переход прав на ордерные или именные ценные бумаги подтверждается:</w:t>
      </w:r>
    </w:p>
    <w:p>
      <w:pPr>
        <w:spacing w:after="120"/>
        <w:ind w:firstLine="709"/>
      </w:pPr>
      <w:r>
        <w:rPr>
          <w:sz w:val="24"/>
        </w:rPr>
        <w:t xml:space="preserve">1) при наследовании - отметкой нотариуса на самой ценной бумаге, которая имеет силу индоссамента или передаточной надписи предшествующего правообладателя;</w:t>
      </w:r>
    </w:p>
    <w:p>
      <w:pPr>
        <w:spacing w:after="120"/>
        <w:ind w:firstLine="709"/>
      </w:pPr>
      <w:r>
        <w:rPr>
          <w:sz w:val="24"/>
        </w:rPr>
        <w:t xml:space="preserve">2) при реализации таких ценных бумаг в случае обращения на них взыскания - отметкой лица, уполномоченного на реализацию имущества владельца таких ценных бумаг;</w:t>
      </w:r>
    </w:p>
    <w:p>
      <w:pPr>
        <w:spacing w:after="120"/>
        <w:ind w:firstLine="709"/>
      </w:pPr>
      <w:r>
        <w:rPr>
          <w:sz w:val="24"/>
        </w:rPr>
        <w:t xml:space="preserve">3) в иных случаях - на основании решения суда отметкой лица, осуществляющего исполнение судебного решения.</w:t>
      </w:r>
    </w:p>
    <w:p>
      <w:pPr>
        <w:spacing w:after="120"/>
        <w:ind w:firstLine="709"/>
      </w:pPr>
      <w:r>
        <w:rPr>
          <w:sz w:val="24"/>
        </w:rPr>
        <w:t xml:space="preserve">9. При учете прав на именную документарную ценную бумагу права переходят к лицу, указанному в ценной бумаге, в момент внесения в учетные записи отметки о переходе прав. Отметка вносится на основании передаточного акта, совершенного сторонами в присутствии лица, осуществляющего учет в соответствии с пунктом 4 статьи 143 настоящего Кодекса, или на основании нотариально удостоверенного передаточного акта, предъявленного лицу, осуществляющему учет, одной из сторон.</w:t>
      </w:r>
    </w:p>
    <w:p>
      <w:pPr>
        <w:spacing w:after="120"/>
        <w:ind w:firstLine="709"/>
      </w:pPr>
      <w:r>
        <w:rPr>
          <w:sz w:val="24"/>
        </w:rPr>
        <w:t xml:space="preserve">10. При уклонении лица, осуществляющего учет в соответствии с пунктом 4 статьи 143 настоящего Кодекса, от внесения в учетные записи отметки о переходе прав лицо, на имя которого совершен передаточный акт, может требовать в судебном порядке внесения соответствующей отметки в учетные записи.</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146</dc:title>
  <dc:creator>АРБИТРАЖ! · arbi.ru</dc:creator>
  <cp:lastModifiedBy>АРБИТРАЖ!</cp:lastModifiedBy>
  <dcterms:created xsi:type="dcterms:W3CDTF">2026-10-22T19:06:45.708Z</dcterms:created>
</cp:coreProperties>
</file>