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Лицами, ответственными за исполнение по бездокументарной ценной бумаге, являются лицо, которое выпустило ценную бумагу, а также лица, которые предоставили обеспечение исполнения соответствующего обязательства. Лица, ответственные за исполнение по бездокументарной ценной бумаге, должны быть указаны в решении о ее выпуске или в ином предусмотренном законом акте лица, выпустившего ценную бумагу.</w:t>
      </w:r>
    </w:p>
    <w:p>
      <w:pPr>
        <w:spacing w:after="120"/>
        <w:ind w:firstLine="709"/>
      </w:pPr>
      <w:r>
        <w:rPr>
          <w:sz w:val="24"/>
        </w:rPr>
        <w:t xml:space="preserve">Право требовать от обязанного лица исполнения по бездокументарной ценной бумаге признается за лицом, указанным в учетных записях в качестве правообладателя, или за иным лицом, которое в соответствии с законом осуществляет права по ценной бумаге.</w:t>
      </w:r>
    </w:p>
    <w:p>
      <w:pPr>
        <w:spacing w:after="120"/>
        <w:ind w:firstLine="709"/>
      </w:pPr>
      <w:r>
        <w:rPr>
          <w:sz w:val="24"/>
        </w:rPr>
        <w:t xml:space="preserve">2. Учет прав на бездокументарные ценные бумаги осуществляется путем внесения записей по счетам лицом, действующим по поручению лица, обязанного по ценной бумаге, либо лицом, действующим на основании договора с правообладателем или с иным лицом, которое в соответствии с законом осуществляет права по ценной бумаге. Ведение записей по учету таких прав осуществляется лицом, имеющим предусмотренную законом лицензию.</w:t>
      </w:r>
    </w:p>
    <w:p>
      <w:pPr>
        <w:spacing w:after="120"/>
        <w:ind w:firstLine="709"/>
      </w:pPr>
      <w:r>
        <w:rPr>
          <w:sz w:val="24"/>
        </w:rPr>
        <w:t xml:space="preserve">3. Распоряжение, в том числе передача, залог, обременение другими способами бездокументарных ценных бумаг, а также ограничения распоряжения ими могут осуществляться только посредством обращения к лицу, осуществляющему учет прав на бездокументарные ценные бумаги, для внесения соответствующих записей.</w:t>
      </w:r>
    </w:p>
    <w:p>
      <w:pPr>
        <w:spacing w:after="120"/>
        <w:ind w:firstLine="709"/>
      </w:pPr>
      <w:r>
        <w:rPr>
          <w:sz w:val="24"/>
        </w:rPr>
        <w:t xml:space="preserve">4. Лицо, выпустившее бездокументарную ценную бумагу, и лицо, осуществляющее по его поручению учет прав на такие ценные бумаги, несут солидарную ответственность за убытки, причиненные в результате нарушения порядка учета прав, порядка совершения операций по счетам, утраты учетных данных, предоставления недостоверной информации об учетных данных, если не докажут, что нарушение имело место вследствие непреодолимой силы.</w:t>
      </w:r>
    </w:p>
    <w:p>
      <w:pPr>
        <w:spacing w:after="120"/>
        <w:ind w:firstLine="709"/>
      </w:pPr>
      <w:r>
        <w:rPr>
          <w:sz w:val="24"/>
        </w:rPr>
        <w:t xml:space="preserve">Лицо, ответственное за исполнение по бездокументарной ценной бумаге, не несет ответственность за убытки, причиненные в результате нарушения порядка учета прав лицами, действующими на основании договора с правообладателем или с иным лицом, которое в соответствии с законом осуществляет права по ценной бумаге.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149</dc:title>
  <dc:creator>АРБИТРАЖ! · arbi.ru</dc:creator>
  <cp:lastModifiedBy>АРБИТРАЖ!</cp:lastModifiedBy>
  <dcterms:created xsi:type="dcterms:W3CDTF">2026-10-22T20:18:45.279Z</dcterms:created>
</cp:coreProperties>
</file>