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149.2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Передача прав на бездокументарные ценные бумаги приобретателю осуществляется посредством списания бездокументарных ценных бумаг со счета лица, совершившего их отчуждение, и зачисления их на счет приобретателя на основании распоряжения лица, совершившего отчуждение. Законом или договором правообладателя с лицом, осуществляющим учет прав на бездокументарные ценные бумаги, могут быть предусмотрены иные основания и условия списания ценных бумаг и их зачисления, в том числе возможность списания ценных бумаг со счета лица, совершившего отчуждение, без представления его распоряжения.</w:t>
      </w:r>
    </w:p>
    <w:p>
      <w:pPr>
        <w:spacing w:after="120"/>
        <w:ind w:firstLine="709"/>
      </w:pPr>
      <w:r>
        <w:rPr>
          <w:sz w:val="24"/>
        </w:rPr>
        <w:t xml:space="preserve">2. Права по бездокументарной ценной бумаге переходят к приобретателю с момента внесения лицом, осуществляющим учет прав на бездокументарные ценные бумаги, соответствующей записи по счету приобретателя.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Особенности залога бездокументарных ценных бумаг определены ст. 51.6 ФЗ от 22.04.1996 N 39-ФЗ.</w:t>
      </w:r>
    </w:p>
    <w:p>
      <w:pPr>
        <w:spacing w:after="120"/>
        <w:ind w:firstLine="709"/>
      </w:pPr>
      <w:r>
        <w:rPr>
          <w:sz w:val="24"/>
        </w:rPr>
        <w:t xml:space="preserve">3. Залог, обременение другими способами бездокументарных ценных бумаг, а также ограничения распоряжения ими возникают после внесения лицом, осуществляющим учет прав, соответствующей записи о залоге, обременении или ограничении по счету правообладателя либо в установленных законом случаях по счету иного лица.</w:t>
      </w:r>
    </w:p>
    <w:p>
      <w:pPr>
        <w:spacing w:after="120"/>
        <w:ind w:firstLine="709"/>
      </w:pPr>
      <w:r>
        <w:rPr>
          <w:sz w:val="24"/>
        </w:rPr>
        <w:t xml:space="preserve">Обременение бездокументарных ценных бумаг может также возникать с момента их зачисления на счет, на котором в соответствии с законом учитываются права на обремененные бездокументарные ценные бумаги.</w:t>
      </w:r>
    </w:p>
    <w:p>
      <w:pPr>
        <w:spacing w:after="120"/>
        <w:ind w:firstLine="709"/>
      </w:pPr>
      <w:r>
        <w:rPr>
          <w:sz w:val="24"/>
        </w:rPr>
        <w:t xml:space="preserve">Внесение записей о залоге или об ином обременении бездокументарных ценных бумаг производится на основании распоряжения правообладателя (залоговое распоряжение и т.п.), если иное не предусмотрено законом.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лица, в пользу которого установлено обременение, либо без такого распоряжения в случаях, предусмотренных законом или соглашением правообладателя с лицом, осуществляющим учет прав на бездокументарные ценные бумаги, и лицом, в пользу которого установлено обременение.</w:t>
      </w:r>
    </w:p>
    <w:p>
      <w:pPr>
        <w:spacing w:after="120"/>
        <w:ind w:firstLine="709"/>
      </w:pPr>
      <w:r>
        <w:rPr>
          <w:sz w:val="24"/>
        </w:rPr>
        <w:t xml:space="preserve">4. При уклонении лица, совершившего отчуждение, либо лица, предоставляющего ценные бумаги в обеспечение исполнения обязательства, от представления лицу, осуществляющему учет прав на бездокументарные ценные бумаги, распоряжения о проведении операции по счету приобретатель или лицо, в пользу которого устанавливается обременение бездокументарных ценных бумаг, вправе требовать в судебном порядке внесения записей о переходе прав на ценные бумаги или об их обременении на условиях, предусмотренных договором с лицом, совершающим отчуждение, или с лицом, предоставляющим ценные бумаги в обеспечение исполнения обязательства.</w:t>
      </w:r>
    </w:p>
    <w:p>
      <w:pPr>
        <w:spacing w:after="120"/>
        <w:ind w:firstLine="709"/>
      </w:pPr>
      <w:r>
        <w:rPr>
          <w:sz w:val="24"/>
        </w:rPr>
        <w:t xml:space="preserve">При наличии нескольких лиц, в пользу которых установлено обязательство по передаче либо обременению прав на одни и те же бездокументарные ценные бумаги, в случае, если операция по их передаче или по обременению еще не осуществлена, преимущество имеет лицо, в пользу которого обязательство возникло ранее, а если это невозможно установить - лицо, первым предъявившее иск.</w:t>
      </w:r>
    </w:p>
    <w:p>
      <w:pPr>
        <w:spacing w:after="120"/>
        <w:ind w:firstLine="709"/>
      </w:pPr>
      <w:r>
        <w:rPr>
          <w:sz w:val="24"/>
        </w:rPr>
        <w:t xml:space="preserve">5.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(статья 1162) .</w:t>
      </w:r>
    </w:p>
    <w:p>
      <w:pPr>
        <w:spacing w:after="120"/>
        <w:ind w:firstLine="709"/>
      </w:pPr>
      <w:r>
        <w:rPr>
          <w:sz w:val="24"/>
        </w:rPr>
        <w:t xml:space="preserve">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лица, уполномоченного на реализацию имущества правообладателя.</w:t>
      </w:r>
    </w:p>
    <w:p>
      <w:pPr>
        <w:spacing w:after="120"/>
        <w:ind w:firstLine="709"/>
      </w:pPr>
      <w:r>
        <w:rPr>
          <w:sz w:val="24"/>
        </w:rPr>
        <w:t xml:space="preserve">Оформление передачи прав на бездокументарные ценные бумаги в соответствии с судебным решением производится лицом, осуществляющим учет прав, на основании решения суда или на основании акта лица, осуществляющего исполнение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6. Уклонение или отказ лица, осуществляющего учет прав на бездокументарные ценные бумаги, от проведения операции по счету могут быть оспорены в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149.2</dc:title>
  <dc:creator>АРБИТРАЖ! · arbi.ru</dc:creator>
  <cp:lastModifiedBy>АРБИТРАЖ!</cp:lastModifiedBy>
  <dcterms:created xsi:type="dcterms:W3CDTF">2026-10-22T22:30:37.309Z</dcterms:created>
</cp:coreProperties>
</file>