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149.5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утрате учетных записей, удостоверяющих права на бездокументарные ценные бумаги, лицо, осуществляющее учет прав, обязано незамедлительно опубликовать информацию об этом в средствах массовой информации, в которых подлежат опубликованию сведения о банкротстве, и обратиться в суд с заявлением о восстановлении данных учета прав в порядке, установленном процессуальным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Требование о восстановлении данных учета прав на бездокументарные ценные бумаги может быть заявлено любым заинтересованным лицом. Восстановление данных учета прав осуществляется в порядке, установленном процессуальным законодательством. При восстановлении данных учета прав на бездокументарные ценные бумаги записи о правообладателях вносятся на основании решения суда.</w:t>
      </w:r>
    </w:p>
    <w:p>
      <w:pPr>
        <w:spacing w:after="120"/>
        <w:ind w:firstLine="709"/>
      </w:pPr>
      <w:r>
        <w:rPr>
          <w:sz w:val="24"/>
        </w:rPr>
        <w:t xml:space="preserve">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информации, в которых подлежат опубликованию сведения о банкротстве, на основании решения суда за счет лица, осуществлявшего этот учет на момент утраты учетных записей, удостоверявших права на бездокументарные ценные бумаги.</w:t>
      </w:r>
    </w:p>
    <w:p>
      <w:pPr>
        <w:spacing w:after="120"/>
        <w:ind w:firstLine="709"/>
      </w:pPr>
      <w:r>
        <w:rPr>
          <w:sz w:val="24"/>
        </w:rPr>
        <w:t xml:space="preserve">2. Записи об учете прав на бездокументарные ценные бумаги не имеют силы с момента, когда лицо, осуществляющее учет прав, утратило учетные записи, и до дня вступления в законную силу решения суда о восстановлении данных учета прав.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149.5</dc:title>
  <dc:creator>АРБИТРАЖ! · arbi.ru</dc:creator>
  <cp:lastModifiedBy>АРБИТРАЖ!</cp:lastModifiedBy>
  <dcterms:created xsi:type="dcterms:W3CDTF">2026-10-22T20:18:02.666Z</dcterms:created>
</cp:coreProperties>
</file>