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</w:t>
      </w:r>
    </w:p>
    <w:p>
      <w:pPr>
        <w:spacing w:after="120"/>
        <w:ind w:firstLine="709"/>
      </w:pPr>
      <w:r>
        <w:rPr>
          <w:sz w:val="24"/>
        </w:rPr>
        <w:t xml:space="preserve">2. Нематериальные блага защищаются в соответствии с настоящим Кодексом и другими законами в случаях и в порядке, ими предусмотренных, а также в тех случаях и пределах, в каких использование способов защиты гражданских прав (статья 12) вытекает из существа нарушенного нематериального блага или личного неимущественного права и характера последствий этого нарушения.</w:t>
      </w:r>
    </w:p>
    <w:p>
      <w:pPr>
        <w:spacing w:after="120"/>
        <w:ind w:firstLine="709"/>
      </w:pPr>
      <w:r>
        <w:rPr>
          <w:sz w:val="24"/>
        </w:rPr>
        <w:t xml:space="preserve">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</w:t>
      </w:r>
    </w:p>
    <w:p>
      <w:pPr>
        <w:spacing w:after="120"/>
        <w:ind w:firstLine="709"/>
      </w:pPr>
      <w:r>
        <w:rPr>
          <w:sz w:val="24"/>
        </w:rPr>
        <w:t xml:space="preserve">В случаях и в порядке, которые предусмотрены законом, нематериальные блага, принадлежавшие умершему, могут защищаться другими лицами.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150</dc:title>
  <dc:creator>АРБИТРАЖ! · arbi.ru</dc:creator>
  <cp:lastModifiedBy>АРБИТРАЖ!</cp:lastModifiedBy>
  <dcterms:created xsi:type="dcterms:W3CDTF">2026-10-22T21:23:28.210Z</dcterms:created>
</cp:coreProperties>
</file>