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152.2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02.07.2013 N 142-ФЗ)</w:t>
      </w:r>
    </w:p>
    <w:p>
      <w:pPr>
        <w:spacing w:after="120"/>
        <w:ind w:firstLine="709"/>
      </w:pPr>
      <w:r>
        <w:rPr>
          <w:sz w:val="24"/>
        </w:rPr>
        <w:t xml:space="preserve">1. Если иное прямо не предусмотрено законом, не допускаются без согласия гражданина сбор, хранение, распространение и использование любой информации о его частной жизни, в частности сведений о его происхождении, о месте его пребывания или жительства, о личной и семейной жизни.</w:t>
      </w:r>
    </w:p>
    <w:p>
      <w:pPr>
        <w:spacing w:after="120"/>
        <w:ind w:firstLine="709"/>
      </w:pPr>
      <w:r>
        <w:rPr>
          <w:sz w:val="24"/>
        </w:rPr>
        <w:t xml:space="preserve">Не являются нарушением правил, установленных абзацем первым настоящего пункта, сбор, хранение, распространение и использование информации о частной жизни гражданина в государственных, общественных или иных публичных интересах , а также в случаях, если информация о частной жизни гражданина ранее стала общедоступной либо была раскрыта самим гражданином или по его воле.</w:t>
      </w:r>
    </w:p>
    <w:p>
      <w:pPr>
        <w:spacing w:after="120"/>
        <w:ind w:firstLine="709"/>
      </w:pPr>
      <w:r>
        <w:rPr>
          <w:sz w:val="24"/>
        </w:rPr>
        <w:t xml:space="preserve">2. Стороны обязательства не вправе разглашать ставшую известной им при возникновении и (или) исполнении обязательства информацию о частной жизни гражданина, являющегося стороной или третьим лицом в данном обязательстве, если соглашением не предусмотрена возможность такого разглашения информации о сторонах.</w:t>
      </w:r>
    </w:p>
    <w:p>
      <w:pPr>
        <w:spacing w:after="120"/>
        <w:ind w:firstLine="709"/>
      </w:pPr>
      <w:r>
        <w:rPr>
          <w:sz w:val="24"/>
        </w:rPr>
        <w:t xml:space="preserve">3. Неправомерным распространением полученной с нарушением закона информации о частной жизни гражданина считается, в частности, ее использование при создании произведений науки, литературы и искусства, если такое использование нарушает интересы гражданина.</w:t>
      </w:r>
    </w:p>
    <w:p>
      <w:pPr>
        <w:spacing w:after="120"/>
        <w:ind w:firstLine="709"/>
      </w:pPr>
      <w:r>
        <w:rPr>
          <w:sz w:val="24"/>
        </w:rPr>
        <w:t xml:space="preserve">4. В случаях, когда информация о частной жизни гражданина, полученная с нарушением закона, содержится в документах, видеозаписях или на иных материальных носителях, гражданин вправе обратиться в суд с требованием об удалении соответствующей информации,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носителей, содержащих соответствующую информацию, если без уничтожения таких экземпляров материальных носителей удаление соответствующей информации невозможно.</w:t>
      </w:r>
    </w:p>
    <w:p>
      <w:pPr>
        <w:spacing w:after="120"/>
        <w:ind w:firstLine="709"/>
      </w:pPr>
      <w:r>
        <w:rPr>
          <w:sz w:val="24"/>
        </w:rPr>
        <w:t xml:space="preserve">5. Право требовать защиты частной жизни гражданина способами, предусмотренными пунктом 2 статьи 150 настоящего Кодекса и настоящей статьей, в случае его смерти имеют дети, родители и переживший супруг такого гражданина.</w:t>
      </w:r>
    </w:p>
    <w:p/>
    <w:p>
      <w:pPr>
        <w:spacing w:after="120"/>
        <w:ind w:firstLine="709"/>
      </w:pPr>
      <w:r>
        <w:rPr>
          <w:sz w:val="24"/>
        </w:rPr>
        <w:t xml:space="preserve">§ 1. Понятие, виды и форма сделок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152.2</dc:title>
  <dc:creator>АРБИТРАЖ! · arbi.ru</dc:creator>
  <cp:lastModifiedBy>АРБИТРАЖ!</cp:lastModifiedBy>
  <dcterms:created xsi:type="dcterms:W3CDTF">2026-10-22T20:23:39.179Z</dcterms:created>
</cp:coreProperties>
</file>