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Сделки могут быть двух- или многосторонними (договоры) и односторонними.</w:t>
      </w:r>
    </w:p>
    <w:p>
      <w:pPr>
        <w:spacing w:after="120"/>
        <w:ind w:firstLine="709"/>
      </w:pPr>
      <w:r>
        <w:rPr>
          <w:sz w:val="24"/>
        </w:rPr>
        <w:t xml:space="preserve">2. Односторонней считается сделка, для совершения которой в соответствии с законом, иными правовыми актами или соглашением сторон необходимо и достаточно выражения воли одной стороны.</w:t>
      </w:r>
    </w:p>
    <w:p>
      <w:pPr>
        <w:spacing w:after="120"/>
        <w:ind w:firstLine="709"/>
      </w:pPr>
      <w:r>
        <w:rPr>
          <w:sz w:val="24"/>
        </w:rPr>
        <w:t xml:space="preserve">3. Для заключения договора необходимо выражение согласованной воли двух сторон (двусторонняя сделка) либо трех или более сторон (многосторонняя сделка).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154</dc:title>
  <dc:creator>АРБИТРАЖ! · arbi.ru</dc:creator>
  <cp:lastModifiedBy>АРБИТРАЖ!</cp:lastModifiedBy>
  <dcterms:created xsi:type="dcterms:W3CDTF">2026-10-23T00:44:16.897Z</dcterms:created>
</cp:coreProperties>
</file>