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Сделки совершаются устно или в письменной форме (простой или нотариальной).</w:t>
      </w:r>
    </w:p>
    <w:p>
      <w:pPr>
        <w:spacing w:after="120"/>
        <w:ind w:firstLine="709"/>
      </w:pPr>
      <w:r>
        <w:rPr>
          <w:sz w:val="24"/>
        </w:rPr>
        <w:t xml:space="preserve">2. Сделка, которая может быть совершена устно, считается совершенной и в том случае, когда из поведения лица явствует его воля совершить сделку.</w:t>
      </w:r>
    </w:p>
    <w:p>
      <w:pPr>
        <w:spacing w:after="120"/>
        <w:ind w:firstLine="709"/>
      </w:pPr>
      <w:r>
        <w:rPr>
          <w:sz w:val="24"/>
        </w:rPr>
        <w:t xml:space="preserve">3. Молчание признается выражением воли совершить сделку в случаях, предусмотренных законом или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158</dc:title>
  <dc:creator>АРБИТРАЖ! · arbi.ru</dc:creator>
  <cp:lastModifiedBy>АРБИТРАЖ!</cp:lastModifiedBy>
  <dcterms:created xsi:type="dcterms:W3CDTF">2026-10-22T14:06:29.502Z</dcterms:created>
</cp:coreProperties>
</file>