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Должны совершаться в простой письменной форме, за исключением сделок, требующих нотариального удостоверения:</w:t>
      </w:r>
    </w:p>
    <w:p>
      <w:pPr>
        <w:spacing w:after="120"/>
        <w:ind w:firstLine="709"/>
      </w:pPr>
      <w:r>
        <w:rPr>
          <w:sz w:val="24"/>
        </w:rPr>
        <w:t xml:space="preserve">1) сделки юридических лиц между собой и с гражданами;</w:t>
      </w:r>
    </w:p>
    <w:p>
      <w:pPr>
        <w:spacing w:after="120"/>
        <w:ind w:firstLine="709"/>
      </w:pPr>
      <w:r>
        <w:rPr>
          <w:sz w:val="24"/>
        </w:rPr>
        <w:t xml:space="preserve">2) сделки граждан между собой на сумму, превышающую десять тысяч рублей, а в случаях, предусмотренных законом, - независимо от суммы сделки.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Соблюдение простой письменной формы не требуется для сделок, которые в соответствии со статьей 159 настоящего Кодекса могут быть совершены устно.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161</dc:title>
  <dc:creator>АРБИТРАЖ! · arbi.ru</dc:creator>
  <cp:lastModifiedBy>АРБИТРАЖ!</cp:lastModifiedBy>
  <dcterms:created xsi:type="dcterms:W3CDTF">2026-10-22T22:36:31.857Z</dcterms:created>
</cp:coreProperties>
</file>