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162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8. Нематериальные блага и их защита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Несоблюдение простой письменной формы сделки лишает стороны права в случае спора ссылаться в подтверждение сделки и ее условий на свидетельские показания, но не лишает их права приводить письменные и другие доказательства.</w:t>
      </w:r>
    </w:p>
    <w:p>
      <w:pPr>
        <w:spacing w:after="120"/>
        <w:ind w:firstLine="709"/>
      </w:pPr>
      <w:r>
        <w:rPr>
          <w:sz w:val="24"/>
        </w:rPr>
        <w:t xml:space="preserve">2. В случаях, прямо указанных в законе или в соглашении сторон, несоблюдение простой письменной формы сделки влечет ее недействительность.</w:t>
      </w:r>
    </w:p>
    <w:p>
      <w:pPr>
        <w:spacing w:after="120"/>
        <w:ind w:firstLine="709"/>
      </w:pPr>
      <w:r>
        <w:rPr>
          <w:sz w:val="24"/>
        </w:rPr>
        <w:t xml:space="preserve">3. Утратил силу с 1 сентября 2013 года. - Федеральный закон от 07.05.2013 N 100-ФЗ.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162</dc:title>
  <dc:creator>АРБИТРАЖ! · arbi.ru</dc:creator>
  <cp:lastModifiedBy>АРБИТРАЖ!</cp:lastModifiedBy>
  <dcterms:created xsi:type="dcterms:W3CDTF">2026-10-22T22:30:35.783Z</dcterms:created>
</cp:coreProperties>
</file>